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6"/>
          <w:szCs w:val="36"/>
        </w:rPr>
      </w:pPr>
      <w:bookmarkStart w:id="0" w:name="_GoBack"/>
      <w:r>
        <w:rPr>
          <w:rFonts w:hint="eastAsia" w:ascii="方正小标宋简体" w:hAnsi="方正小标宋简体" w:eastAsia="方正小标宋简体" w:cs="方正小标宋简体"/>
          <w:sz w:val="36"/>
          <w:szCs w:val="36"/>
          <w:lang w:eastAsia="zh-CN"/>
        </w:rPr>
        <w:t>盈江县支那乡中心学校</w:t>
      </w:r>
      <w:r>
        <w:rPr>
          <w:rFonts w:hint="eastAsia" w:ascii="方正小标宋简体" w:hAnsi="方正小标宋简体" w:eastAsia="方正小标宋简体" w:cs="方正小标宋简体"/>
          <w:sz w:val="36"/>
          <w:szCs w:val="36"/>
          <w:lang w:val="en-US" w:eastAsia="zh-CN"/>
        </w:rPr>
        <w:t>2019</w:t>
      </w:r>
      <w:r>
        <w:rPr>
          <w:rFonts w:hint="eastAsia" w:ascii="方正小标宋简体" w:hAnsi="方正小标宋简体" w:eastAsia="方正小标宋简体" w:cs="方正小标宋简体"/>
          <w:sz w:val="36"/>
          <w:szCs w:val="36"/>
        </w:rPr>
        <w:t>年</w:t>
      </w:r>
      <w:r>
        <w:rPr>
          <w:rFonts w:hint="eastAsia" w:ascii="方正小标宋简体" w:hAnsi="方正小标宋简体" w:eastAsia="方正小标宋简体" w:cs="方正小标宋简体"/>
          <w:sz w:val="36"/>
          <w:szCs w:val="36"/>
          <w:lang w:eastAsia="zh-CN"/>
        </w:rPr>
        <w:t>部门</w:t>
      </w:r>
    </w:p>
    <w:p>
      <w:pPr>
        <w:jc w:val="center"/>
        <w:rPr>
          <w:rFonts w:hint="eastAsia" w:ascii="方正小标宋简体" w:eastAsia="方正小标宋简体"/>
          <w:sz w:val="36"/>
          <w:szCs w:val="36"/>
        </w:rPr>
      </w:pPr>
      <w:r>
        <w:rPr>
          <w:rFonts w:hint="eastAsia" w:ascii="方正小标宋简体" w:hAnsi="方正小标宋简体" w:eastAsia="方正小标宋简体" w:cs="方正小标宋简体"/>
          <w:sz w:val="36"/>
          <w:szCs w:val="36"/>
        </w:rPr>
        <w:t>预算</w:t>
      </w:r>
      <w:r>
        <w:rPr>
          <w:rFonts w:hint="eastAsia" w:ascii="方正小标宋简体" w:hAnsi="方正小标宋简体" w:eastAsia="方正小标宋简体" w:cs="方正小标宋简体"/>
          <w:sz w:val="36"/>
          <w:szCs w:val="36"/>
          <w:lang w:eastAsia="zh-CN"/>
        </w:rPr>
        <w:t>公开</w:t>
      </w:r>
      <w:r>
        <w:rPr>
          <w:rFonts w:hint="eastAsia" w:ascii="方正小标宋简体" w:eastAsia="方正小标宋简体"/>
          <w:sz w:val="36"/>
          <w:szCs w:val="36"/>
        </w:rPr>
        <w:t>目录</w:t>
      </w:r>
    </w:p>
    <w:p>
      <w:pPr>
        <w:jc w:val="left"/>
        <w:rPr>
          <w:rFonts w:hint="eastAsia" w:ascii="黑体" w:hAnsi="黑体" w:eastAsia="黑体"/>
          <w:sz w:val="30"/>
          <w:szCs w:val="30"/>
        </w:rPr>
      </w:pPr>
    </w:p>
    <w:p>
      <w:pPr>
        <w:jc w:val="left"/>
        <w:rPr>
          <w:rFonts w:hint="eastAsia" w:ascii="黑体" w:hAnsi="黑体" w:eastAsia="黑体"/>
          <w:sz w:val="30"/>
          <w:szCs w:val="30"/>
        </w:rPr>
      </w:pPr>
      <w:r>
        <w:rPr>
          <w:rFonts w:hint="eastAsia" w:ascii="黑体" w:hAnsi="黑体" w:eastAsia="黑体"/>
          <w:sz w:val="30"/>
          <w:szCs w:val="30"/>
        </w:rPr>
        <w:t>第一部分</w:t>
      </w:r>
      <w:r>
        <w:rPr>
          <w:rFonts w:hint="eastAsia" w:ascii="黑体" w:hAnsi="黑体" w:eastAsia="黑体"/>
          <w:sz w:val="30"/>
          <w:szCs w:val="30"/>
          <w:lang w:val="en-US" w:eastAsia="zh-CN"/>
        </w:rPr>
        <w:t xml:space="preserve"> </w:t>
      </w:r>
      <w:r>
        <w:rPr>
          <w:rFonts w:hint="eastAsia" w:ascii="黑体" w:hAnsi="黑体" w:eastAsia="黑体"/>
          <w:sz w:val="30"/>
          <w:szCs w:val="30"/>
          <w:lang w:eastAsia="zh-CN"/>
        </w:rPr>
        <w:t>盈江县支那乡中心学校</w:t>
      </w:r>
      <w:r>
        <w:rPr>
          <w:rFonts w:hint="eastAsia" w:ascii="黑体" w:hAnsi="黑体" w:eastAsia="黑体"/>
          <w:sz w:val="30"/>
          <w:szCs w:val="30"/>
          <w:lang w:val="en-US" w:eastAsia="zh-CN"/>
        </w:rPr>
        <w:t>2019</w:t>
      </w:r>
      <w:r>
        <w:rPr>
          <w:rFonts w:hint="eastAsia" w:ascii="黑体" w:hAnsi="黑体" w:eastAsia="黑体"/>
          <w:sz w:val="30"/>
          <w:szCs w:val="30"/>
        </w:rPr>
        <w:t>年部门预算编制说明</w:t>
      </w:r>
    </w:p>
    <w:p>
      <w:pPr>
        <w:jc w:val="left"/>
        <w:rPr>
          <w:rFonts w:hint="eastAsia" w:ascii="黑体" w:hAnsi="黑体" w:eastAsia="黑体"/>
          <w:sz w:val="30"/>
          <w:szCs w:val="30"/>
        </w:rPr>
      </w:pPr>
      <w:r>
        <w:rPr>
          <w:rFonts w:hint="eastAsia" w:ascii="黑体" w:hAnsi="黑体" w:eastAsia="黑体"/>
          <w:sz w:val="30"/>
          <w:szCs w:val="30"/>
        </w:rPr>
        <w:t xml:space="preserve">第二部分 </w:t>
      </w:r>
      <w:r>
        <w:rPr>
          <w:rFonts w:hint="eastAsia" w:ascii="黑体" w:hAnsi="黑体" w:eastAsia="黑体"/>
          <w:sz w:val="30"/>
          <w:szCs w:val="30"/>
          <w:lang w:eastAsia="zh-CN"/>
        </w:rPr>
        <w:t>盈江县支那乡中心学校</w:t>
      </w:r>
      <w:r>
        <w:rPr>
          <w:rFonts w:hint="eastAsia" w:ascii="黑体" w:hAnsi="黑体" w:eastAsia="黑体"/>
          <w:sz w:val="30"/>
          <w:szCs w:val="30"/>
          <w:lang w:val="en-US" w:eastAsia="zh-CN"/>
        </w:rPr>
        <w:t>2019</w:t>
      </w:r>
      <w:r>
        <w:rPr>
          <w:rFonts w:hint="eastAsia" w:ascii="黑体" w:hAnsi="黑体" w:eastAsia="黑体"/>
          <w:sz w:val="30"/>
          <w:szCs w:val="30"/>
        </w:rPr>
        <w:t>年部门预算表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八、财政拨款支出明细表（按经济科目分类）</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本级项目支出绩效目标表（本次下达）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十一、</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本级项目支出绩效目标表（另文下达）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十二、</w:t>
      </w:r>
      <w:r>
        <w:rPr>
          <w:rFonts w:hint="eastAsia" w:eastAsia="仿宋_GB2312"/>
          <w:sz w:val="30"/>
          <w:szCs w:val="30"/>
          <w:lang w:eastAsia="zh-CN"/>
        </w:rPr>
        <w:t>县</w:t>
      </w:r>
      <w:r>
        <w:rPr>
          <w:rFonts w:hint="eastAsia" w:ascii="Times New Roman" w:hAnsi="Times New Roman" w:eastAsia="仿宋_GB2312"/>
          <w:sz w:val="30"/>
          <w:szCs w:val="30"/>
        </w:rPr>
        <w:t>对下转移支付绩效目标表</w:t>
      </w:r>
    </w:p>
    <w:p>
      <w:pPr>
        <w:jc w:val="left"/>
        <w:rPr>
          <w:rFonts w:ascii="Times New Roman" w:hAnsi="Times New Roman" w:eastAsia="仿宋_GB2312"/>
          <w:sz w:val="30"/>
          <w:szCs w:val="30"/>
        </w:rPr>
      </w:pPr>
      <w:r>
        <w:rPr>
          <w:rFonts w:hint="eastAsia" w:ascii="Times New Roman" w:hAnsi="Times New Roman" w:eastAsia="仿宋_GB2312"/>
          <w:sz w:val="30"/>
          <w:szCs w:val="30"/>
        </w:rPr>
        <w:t>十三、部门政府采购情况表</w:t>
      </w:r>
    </w:p>
    <w:p>
      <w:pPr>
        <w:jc w:val="left"/>
        <w:rPr>
          <w:rFonts w:ascii="Times New Roman" w:hAnsi="Times New Roman" w:eastAsia="仿宋_GB2312"/>
          <w:sz w:val="30"/>
          <w:szCs w:val="30"/>
        </w:rPr>
      </w:pPr>
    </w:p>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lang w:eastAsia="zh-CN"/>
        </w:rPr>
        <w:t>盈江县支那乡中心学校</w:t>
      </w:r>
      <w:r>
        <w:rPr>
          <w:rFonts w:hint="eastAsia" w:ascii="方正小标宋简体" w:eastAsia="方正小标宋简体"/>
          <w:kern w:val="0"/>
          <w:sz w:val="36"/>
          <w:szCs w:val="36"/>
          <w:lang w:val="en-US" w:eastAsia="zh-CN"/>
        </w:rPr>
        <w:t>2019</w:t>
      </w:r>
      <w:r>
        <w:rPr>
          <w:rFonts w:hint="eastAsia" w:ascii="方正小标宋简体" w:eastAsia="方正小标宋简体"/>
          <w:kern w:val="0"/>
          <w:sz w:val="36"/>
          <w:szCs w:val="36"/>
        </w:rPr>
        <w:t>年部门预算编制说明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hint="eastAsia" w:ascii="仿宋_GB2312" w:hAnsi="仿宋_GB2312" w:eastAsia="仿宋_GB2312" w:cs="仿宋_GB2312"/>
          <w:b w:val="0"/>
          <w:bCs w:val="0"/>
          <w:kern w:val="0"/>
          <w:sz w:val="30"/>
          <w:szCs w:val="30"/>
        </w:rPr>
      </w:pPr>
      <w:r>
        <w:rPr>
          <w:rFonts w:hint="eastAsia" w:ascii="仿宋_GB2312" w:hAnsi="仿宋_GB2312" w:eastAsia="仿宋_GB2312" w:cs="仿宋_GB2312"/>
          <w:b w:val="0"/>
          <w:bCs w:val="0"/>
          <w:kern w:val="0"/>
          <w:sz w:val="30"/>
          <w:szCs w:val="30"/>
        </w:rPr>
        <w:t>根据《</w:t>
      </w:r>
      <w:r>
        <w:rPr>
          <w:rFonts w:hint="eastAsia" w:ascii="仿宋_GB2312" w:hAnsi="仿宋_GB2312" w:eastAsia="仿宋_GB2312" w:cs="仿宋_GB2312"/>
          <w:b w:val="0"/>
          <w:bCs w:val="0"/>
          <w:kern w:val="0"/>
          <w:sz w:val="30"/>
          <w:szCs w:val="30"/>
          <w:lang w:eastAsia="zh-CN"/>
        </w:rPr>
        <w:t>盈江县财政局</w:t>
      </w:r>
      <w:r>
        <w:rPr>
          <w:rFonts w:hint="eastAsia" w:ascii="仿宋_GB2312" w:hAnsi="仿宋_GB2312" w:eastAsia="仿宋_GB2312" w:cs="仿宋_GB2312"/>
          <w:b w:val="0"/>
          <w:bCs w:val="0"/>
          <w:kern w:val="0"/>
          <w:sz w:val="30"/>
          <w:szCs w:val="30"/>
        </w:rPr>
        <w:t>关于</w:t>
      </w:r>
      <w:r>
        <w:rPr>
          <w:rFonts w:hint="eastAsia" w:ascii="仿宋_GB2312" w:hAnsi="仿宋_GB2312" w:eastAsia="仿宋_GB2312" w:cs="仿宋_GB2312"/>
          <w:b w:val="0"/>
          <w:bCs w:val="0"/>
          <w:kern w:val="0"/>
          <w:sz w:val="30"/>
          <w:szCs w:val="30"/>
          <w:lang w:eastAsia="zh-CN"/>
        </w:rPr>
        <w:t>盈江县支那乡中心学校</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年部门预算的批复》（</w:t>
      </w:r>
      <w:r>
        <w:rPr>
          <w:rFonts w:hint="eastAsia" w:ascii="仿宋_GB2312" w:hAnsi="仿宋_GB2312" w:eastAsia="仿宋_GB2312" w:cs="仿宋_GB2312"/>
          <w:b w:val="0"/>
          <w:bCs w:val="0"/>
          <w:kern w:val="0"/>
          <w:sz w:val="30"/>
          <w:szCs w:val="30"/>
          <w:lang w:eastAsia="zh-CN"/>
        </w:rPr>
        <w:t>盈财预分指</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w:t>
      </w:r>
      <w:r>
        <w:rPr>
          <w:rFonts w:hint="eastAsia" w:ascii="仿宋_GB2312" w:hAnsi="仿宋_GB2312" w:eastAsia="仿宋_GB2312" w:cs="仿宋_GB2312"/>
          <w:b w:val="0"/>
          <w:bCs w:val="0"/>
          <w:kern w:val="0"/>
          <w:sz w:val="30"/>
          <w:szCs w:val="30"/>
          <w:lang w:val="en-US" w:eastAsia="zh-CN"/>
        </w:rPr>
        <w:t>25</w:t>
      </w:r>
      <w:r>
        <w:rPr>
          <w:rFonts w:hint="eastAsia" w:ascii="仿宋_GB2312" w:hAnsi="仿宋_GB2312" w:eastAsia="仿宋_GB2312" w:cs="仿宋_GB2312"/>
          <w:b w:val="0"/>
          <w:bCs w:val="0"/>
          <w:kern w:val="0"/>
          <w:sz w:val="30"/>
          <w:szCs w:val="30"/>
        </w:rPr>
        <w:t>号），按照预算管理的相关规定，</w:t>
      </w:r>
      <w:r>
        <w:rPr>
          <w:rFonts w:hint="eastAsia" w:ascii="仿宋_GB2312" w:hAnsi="仿宋_GB2312" w:eastAsia="仿宋_GB2312" w:cs="仿宋_GB2312"/>
          <w:b w:val="0"/>
          <w:bCs w:val="0"/>
          <w:kern w:val="0"/>
          <w:sz w:val="30"/>
          <w:szCs w:val="30"/>
          <w:lang w:eastAsia="zh-CN"/>
        </w:rPr>
        <w:t>盈江县支那乡中心学校</w:t>
      </w:r>
      <w:r>
        <w:rPr>
          <w:rFonts w:hint="eastAsia" w:ascii="仿宋_GB2312" w:hAnsi="仿宋_GB2312" w:eastAsia="仿宋_GB2312" w:cs="仿宋_GB2312"/>
          <w:b w:val="0"/>
          <w:bCs w:val="0"/>
          <w:kern w:val="0"/>
          <w:sz w:val="30"/>
          <w:szCs w:val="30"/>
        </w:rPr>
        <w:t>部门预算编制实行全口径预算管理，收入和支出全部纳入预算管理。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ascii="黑体" w:hAnsi="黑体" w:eastAsia="黑体"/>
          <w:kern w:val="0"/>
          <w:sz w:val="30"/>
          <w:szCs w:val="30"/>
        </w:rPr>
      </w:pPr>
      <w:r>
        <w:rPr>
          <w:rFonts w:ascii="黑体" w:hAnsi="黑体" w:eastAsia="黑体"/>
          <w:kern w:val="0"/>
          <w:sz w:val="30"/>
          <w:szCs w:val="30"/>
        </w:rPr>
        <w:t>一、基本职能及主要工作</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ascii="楷体_GB2312" w:eastAsia="楷体_GB2312"/>
          <w:b/>
          <w:kern w:val="0"/>
          <w:sz w:val="30"/>
          <w:szCs w:val="30"/>
        </w:rPr>
      </w:pPr>
      <w:r>
        <w:rPr>
          <w:rFonts w:hint="eastAsia" w:ascii="楷体_GB2312" w:eastAsia="楷体_GB2312"/>
          <w:kern w:val="0"/>
          <w:sz w:val="30"/>
          <w:szCs w:val="30"/>
        </w:rPr>
        <w:t>（一）部门主要职责</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根据盈发（2012）21号文件《贯彻国家和云南省中长期教育改革和发展规划纲要的实施意见》规定，主要职能是：全面推进素质教育，大力发展学前教育，巩固提高义务教育发展水平，稳步发展高中教育，加快发展职业教育和成人继续教育，推进</w:t>
      </w:r>
      <w:r>
        <w:rPr>
          <w:rFonts w:hint="eastAsia" w:ascii="仿宋_GB2312" w:hAnsi="仿宋_GB2312" w:eastAsia="仿宋_GB2312" w:cs="仿宋_GB2312"/>
          <w:kern w:val="0"/>
          <w:sz w:val="30"/>
          <w:szCs w:val="30"/>
          <w:lang w:eastAsia="zh-CN"/>
        </w:rPr>
        <w:t>特殊</w:t>
      </w:r>
      <w:r>
        <w:rPr>
          <w:rFonts w:hint="eastAsia" w:ascii="仿宋_GB2312" w:hAnsi="仿宋_GB2312" w:eastAsia="仿宋_GB2312" w:cs="仿宋_GB2312"/>
          <w:kern w:val="0"/>
          <w:sz w:val="30"/>
          <w:szCs w:val="30"/>
        </w:rPr>
        <w:t>教育发展，高度重视民族教育，规范发展民办教育，加强教育合作与交流。</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ascii="楷体_GB2312" w:eastAsia="楷体_GB2312"/>
          <w:kern w:val="0"/>
          <w:sz w:val="30"/>
          <w:szCs w:val="30"/>
        </w:rPr>
      </w:pPr>
      <w:r>
        <w:rPr>
          <w:rFonts w:hint="eastAsia" w:ascii="楷体_GB2312" w:eastAsia="楷体_GB2312"/>
          <w:kern w:val="0"/>
          <w:sz w:val="30"/>
          <w:szCs w:val="30"/>
        </w:rPr>
        <w:t>（二）机构设置情况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eastAsia="zh-CN"/>
        </w:rPr>
        <w:t>盈江县支那乡中心学校</w:t>
      </w:r>
      <w:r>
        <w:rPr>
          <w:rFonts w:hint="eastAsia" w:ascii="仿宋_GB2312" w:hAnsi="仿宋_GB2312" w:eastAsia="仿宋_GB2312" w:cs="仿宋_GB2312"/>
          <w:kern w:val="0"/>
          <w:sz w:val="30"/>
          <w:szCs w:val="30"/>
        </w:rPr>
        <w:t>设置</w:t>
      </w:r>
      <w:r>
        <w:rPr>
          <w:rFonts w:hint="eastAsia" w:ascii="仿宋_GB2312" w:hAnsi="仿宋_GB2312" w:eastAsia="仿宋_GB2312" w:cs="仿宋_GB2312"/>
          <w:kern w:val="0"/>
          <w:sz w:val="30"/>
          <w:szCs w:val="30"/>
          <w:lang w:val="en-US" w:eastAsia="zh-CN"/>
        </w:rPr>
        <w:t>8</w:t>
      </w:r>
      <w:r>
        <w:rPr>
          <w:rFonts w:hint="eastAsia" w:ascii="仿宋_GB2312" w:hAnsi="宋体" w:eastAsia="仿宋_GB2312" w:cs="宋体"/>
          <w:sz w:val="30"/>
          <w:szCs w:val="30"/>
        </w:rPr>
        <w:t>个</w:t>
      </w:r>
      <w:r>
        <w:rPr>
          <w:rFonts w:hint="eastAsia" w:ascii="仿宋_GB2312" w:hAnsi="宋体" w:eastAsia="仿宋_GB2312" w:cs="宋体"/>
          <w:sz w:val="30"/>
          <w:szCs w:val="30"/>
          <w:lang w:eastAsia="zh-CN"/>
        </w:rPr>
        <w:t>校点</w:t>
      </w:r>
      <w:r>
        <w:rPr>
          <w:rFonts w:hint="eastAsia" w:ascii="仿宋_GB2312" w:hAnsi="宋体" w:eastAsia="仿宋_GB2312" w:cs="宋体"/>
          <w:sz w:val="30"/>
          <w:szCs w:val="30"/>
        </w:rPr>
        <w:t>：</w:t>
      </w:r>
      <w:r>
        <w:rPr>
          <w:rFonts w:hint="eastAsia" w:ascii="仿宋_GB2312" w:hAnsi="宋体" w:eastAsia="仿宋_GB2312" w:cs="宋体"/>
          <w:sz w:val="30"/>
          <w:szCs w:val="30"/>
          <w:lang w:val="en-US" w:eastAsia="zh-CN"/>
        </w:rPr>
        <w:t>中心小学、中合小学、芒海小学、上官小学、达海小学、崩董小学、石分小学、麻力小学</w:t>
      </w:r>
      <w:r>
        <w:rPr>
          <w:rFonts w:hint="eastAsia" w:ascii="仿宋_GB2312" w:hAnsi="宋体" w:eastAsia="仿宋_GB2312" w:cs="宋体"/>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ascii="楷体_GB2312" w:eastAsia="楷体_GB2312"/>
          <w:color w:val="auto"/>
          <w:kern w:val="0"/>
          <w:sz w:val="30"/>
          <w:szCs w:val="30"/>
        </w:rPr>
      </w:pPr>
      <w:r>
        <w:rPr>
          <w:rFonts w:ascii="楷体_GB2312" w:eastAsia="楷体_GB2312"/>
          <w:color w:val="auto"/>
          <w:kern w:val="0"/>
          <w:sz w:val="30"/>
          <w:szCs w:val="30"/>
        </w:rPr>
        <w:t>（</w:t>
      </w:r>
      <w:r>
        <w:rPr>
          <w:rFonts w:hint="eastAsia" w:ascii="楷体_GB2312" w:eastAsia="楷体_GB2312"/>
          <w:color w:val="auto"/>
          <w:kern w:val="0"/>
          <w:sz w:val="30"/>
          <w:szCs w:val="30"/>
        </w:rPr>
        <w:t>三</w:t>
      </w:r>
      <w:r>
        <w:rPr>
          <w:rFonts w:ascii="楷体_GB2312" w:eastAsia="楷体_GB2312"/>
          <w:color w:val="auto"/>
          <w:kern w:val="0"/>
          <w:sz w:val="30"/>
          <w:szCs w:val="30"/>
        </w:rPr>
        <w:t>）重点工作概述</w:t>
      </w:r>
    </w:p>
    <w:p>
      <w:pPr>
        <w:keepNext w:val="0"/>
        <w:keepLines w:val="0"/>
        <w:pageBreakBefore w:val="0"/>
        <w:numPr>
          <w:ilvl w:val="0"/>
          <w:numId w:val="1"/>
        </w:numPr>
        <w:kinsoku/>
        <w:wordWrap/>
        <w:overflowPunct/>
        <w:topLinePunct w:val="0"/>
        <w:autoSpaceDE/>
        <w:autoSpaceDN/>
        <w:bidi w:val="0"/>
        <w:adjustRightInd/>
        <w:snapToGrid/>
        <w:spacing w:line="240" w:lineRule="auto"/>
        <w:ind w:left="0" w:leftChars="0" w:right="0" w:firstLine="600" w:firstLineChars="200"/>
        <w:jc w:val="both"/>
        <w:textAlignment w:val="auto"/>
        <w:outlineLvl w:val="9"/>
        <w:rPr>
          <w:rFonts w:hint="eastAsia" w:ascii="仿宋_GB2312" w:hAnsi="仿宋_GB2312" w:eastAsia="仿宋_GB2312" w:cs="仿宋_GB2312"/>
          <w:color w:val="000000"/>
          <w:kern w:val="0"/>
          <w:sz w:val="30"/>
          <w:szCs w:val="30"/>
          <w:shd w:val="clear" w:color="auto" w:fill="FFFFFF"/>
          <w:lang w:eastAsia="zh-CN"/>
        </w:rPr>
      </w:pPr>
      <w:r>
        <w:rPr>
          <w:rFonts w:hint="eastAsia" w:ascii="仿宋_GB2312" w:hAnsi="仿宋_GB2312" w:eastAsia="仿宋_GB2312" w:cs="仿宋_GB2312"/>
          <w:color w:val="000000"/>
          <w:kern w:val="0"/>
          <w:sz w:val="30"/>
          <w:szCs w:val="30"/>
          <w:shd w:val="clear" w:color="auto" w:fill="FFFFFF"/>
          <w:lang w:eastAsia="zh-CN"/>
        </w:rPr>
        <w:t>进一步规范学校管理，完善各项规章制度，依法治校，依法执教，依章管理。</w:t>
      </w:r>
    </w:p>
    <w:p>
      <w:pPr>
        <w:keepNext w:val="0"/>
        <w:keepLines w:val="0"/>
        <w:pageBreakBefore w:val="0"/>
        <w:numPr>
          <w:ilvl w:val="0"/>
          <w:numId w:val="1"/>
        </w:numPr>
        <w:kinsoku/>
        <w:wordWrap/>
        <w:overflowPunct/>
        <w:topLinePunct w:val="0"/>
        <w:autoSpaceDE/>
        <w:autoSpaceDN/>
        <w:bidi w:val="0"/>
        <w:adjustRightInd/>
        <w:snapToGrid/>
        <w:spacing w:line="240" w:lineRule="auto"/>
        <w:ind w:left="0" w:leftChars="0" w:right="0" w:firstLine="600" w:firstLineChars="200"/>
        <w:jc w:val="both"/>
        <w:textAlignment w:val="auto"/>
        <w:outlineLvl w:val="9"/>
        <w:rPr>
          <w:rFonts w:hint="eastAsia" w:ascii="仿宋_GB2312" w:hAnsi="仿宋_GB2312" w:eastAsia="仿宋_GB2312" w:cs="仿宋_GB2312"/>
          <w:sz w:val="30"/>
          <w:szCs w:val="30"/>
          <w:shd w:val="clear" w:color="auto" w:fill="FFFFFF"/>
        </w:rPr>
      </w:pPr>
      <w:r>
        <w:rPr>
          <w:rFonts w:hint="eastAsia" w:ascii="仿宋_GB2312" w:hAnsi="仿宋_GB2312" w:eastAsia="仿宋_GB2312" w:cs="仿宋_GB2312"/>
          <w:color w:val="000000"/>
          <w:kern w:val="0"/>
          <w:sz w:val="30"/>
          <w:szCs w:val="30"/>
          <w:shd w:val="clear" w:color="auto" w:fill="FFFFFF"/>
        </w:rPr>
        <w:t>努力创建平安和谐校园，确保校园</w:t>
      </w:r>
      <w:r>
        <w:rPr>
          <w:rFonts w:hint="eastAsia" w:ascii="仿宋_GB2312" w:hAnsi="仿宋_GB2312" w:eastAsia="仿宋_GB2312" w:cs="仿宋_GB2312"/>
          <w:color w:val="000000"/>
          <w:kern w:val="0"/>
          <w:sz w:val="30"/>
          <w:szCs w:val="30"/>
          <w:shd w:val="clear" w:color="auto" w:fill="FFFFFF"/>
          <w:lang w:eastAsia="zh-CN"/>
        </w:rPr>
        <w:t>平安、师生安全。加强住校生安全管理。继续做好学生到校离校签到工作。</w:t>
      </w:r>
    </w:p>
    <w:p>
      <w:pPr>
        <w:keepNext w:val="0"/>
        <w:keepLines w:val="0"/>
        <w:pageBreakBefore w:val="0"/>
        <w:numPr>
          <w:ilvl w:val="0"/>
          <w:numId w:val="1"/>
        </w:numPr>
        <w:kinsoku/>
        <w:wordWrap/>
        <w:overflowPunct/>
        <w:topLinePunct w:val="0"/>
        <w:autoSpaceDE/>
        <w:autoSpaceDN/>
        <w:bidi w:val="0"/>
        <w:adjustRightInd/>
        <w:snapToGrid/>
        <w:spacing w:line="240" w:lineRule="auto"/>
        <w:ind w:left="0" w:leftChars="0" w:right="0" w:firstLine="600" w:firstLineChars="200"/>
        <w:jc w:val="both"/>
        <w:textAlignment w:val="auto"/>
        <w:outlineLvl w:val="9"/>
        <w:rPr>
          <w:rFonts w:hint="eastAsia" w:ascii="仿宋_GB2312" w:hAnsi="仿宋_GB2312" w:eastAsia="仿宋_GB2312" w:cs="仿宋_GB2312"/>
          <w:sz w:val="30"/>
          <w:szCs w:val="30"/>
          <w:shd w:val="clear" w:color="auto" w:fill="FFFFFF"/>
          <w:lang w:eastAsia="zh-CN"/>
        </w:rPr>
      </w:pPr>
      <w:r>
        <w:rPr>
          <w:rFonts w:hint="eastAsia" w:ascii="仿宋_GB2312" w:hAnsi="仿宋_GB2312" w:eastAsia="仿宋_GB2312" w:cs="仿宋_GB2312"/>
          <w:sz w:val="30"/>
          <w:szCs w:val="30"/>
          <w:shd w:val="clear" w:color="auto" w:fill="FFFFFF"/>
          <w:lang w:eastAsia="zh-CN"/>
        </w:rPr>
        <w:t>加强教师队伍建设，创新师德规范教育的方法和途径，积极转化教师思想、积极鼓励教师专业化发展，强化教师培训工作，努力提升教师业务素质。</w:t>
      </w:r>
    </w:p>
    <w:p>
      <w:pPr>
        <w:keepNext w:val="0"/>
        <w:keepLines w:val="0"/>
        <w:pageBreakBefore w:val="0"/>
        <w:numPr>
          <w:ilvl w:val="0"/>
          <w:numId w:val="1"/>
        </w:numPr>
        <w:kinsoku/>
        <w:wordWrap/>
        <w:overflowPunct/>
        <w:topLinePunct w:val="0"/>
        <w:autoSpaceDE/>
        <w:autoSpaceDN/>
        <w:bidi w:val="0"/>
        <w:adjustRightInd/>
        <w:snapToGrid/>
        <w:spacing w:line="240" w:lineRule="auto"/>
        <w:ind w:left="0" w:leftChars="0" w:right="0" w:firstLine="600" w:firstLineChars="200"/>
        <w:jc w:val="both"/>
        <w:textAlignment w:val="auto"/>
        <w:outlineLvl w:val="9"/>
        <w:rPr>
          <w:rFonts w:hint="eastAsia" w:ascii="仿宋_GB2312" w:hAnsi="仿宋_GB2312" w:eastAsia="仿宋_GB2312" w:cs="仿宋_GB2312"/>
          <w:sz w:val="30"/>
          <w:szCs w:val="30"/>
          <w:shd w:val="clear" w:color="auto" w:fill="FFFFFF"/>
        </w:rPr>
      </w:pPr>
      <w:r>
        <w:rPr>
          <w:rFonts w:hint="eastAsia" w:ascii="仿宋_GB2312" w:hAnsi="仿宋_GB2312" w:eastAsia="仿宋_GB2312" w:cs="仿宋_GB2312"/>
          <w:sz w:val="30"/>
          <w:szCs w:val="30"/>
          <w:shd w:val="clear" w:color="auto" w:fill="FFFFFF"/>
          <w:lang w:eastAsia="zh-CN"/>
        </w:rPr>
        <w:t>加强财务管理，严格规范财务管理制度，加强寄宿生生活服务，尽最大力量让学生吃饱、吃好。</w:t>
      </w:r>
    </w:p>
    <w:p>
      <w:pPr>
        <w:keepNext w:val="0"/>
        <w:keepLines w:val="0"/>
        <w:pageBreakBefore w:val="0"/>
        <w:numPr>
          <w:ilvl w:val="0"/>
          <w:numId w:val="1"/>
        </w:numPr>
        <w:kinsoku/>
        <w:wordWrap/>
        <w:overflowPunct/>
        <w:topLinePunct w:val="0"/>
        <w:autoSpaceDE/>
        <w:autoSpaceDN/>
        <w:bidi w:val="0"/>
        <w:adjustRightInd/>
        <w:snapToGrid/>
        <w:spacing w:line="240" w:lineRule="auto"/>
        <w:ind w:left="0" w:leftChars="0" w:right="0" w:firstLine="600" w:firstLineChars="200"/>
        <w:jc w:val="both"/>
        <w:textAlignment w:val="auto"/>
        <w:outlineLvl w:val="9"/>
        <w:rPr>
          <w:rFonts w:hint="eastAsia" w:ascii="仿宋_GB2312" w:hAnsi="仿宋_GB2312" w:eastAsia="仿宋_GB2312" w:cs="仿宋_GB2312"/>
          <w:sz w:val="30"/>
          <w:szCs w:val="30"/>
          <w:shd w:val="clear" w:color="auto" w:fill="FFFFFF"/>
        </w:rPr>
      </w:pPr>
      <w:r>
        <w:rPr>
          <w:rFonts w:hint="eastAsia" w:ascii="仿宋_GB2312" w:hAnsi="仿宋_GB2312" w:eastAsia="仿宋_GB2312" w:cs="仿宋_GB2312"/>
          <w:kern w:val="0"/>
          <w:sz w:val="30"/>
          <w:szCs w:val="30"/>
          <w:shd w:val="clear" w:color="auto" w:fill="FFFFFF"/>
        </w:rPr>
        <w:t>紧紧围绕“全面育人，全面提高教育教学质量”这个中心，加强教学常规管理，</w:t>
      </w:r>
      <w:r>
        <w:rPr>
          <w:rFonts w:hint="eastAsia" w:ascii="仿宋_GB2312" w:hAnsi="仿宋_GB2312" w:eastAsia="仿宋_GB2312" w:cs="仿宋_GB2312"/>
          <w:kern w:val="0"/>
          <w:sz w:val="30"/>
          <w:szCs w:val="30"/>
          <w:shd w:val="clear" w:color="auto" w:fill="FFFFFF"/>
          <w:lang w:eastAsia="zh-CN"/>
        </w:rPr>
        <w:t>深入课改</w:t>
      </w:r>
      <w:r>
        <w:rPr>
          <w:rFonts w:hint="eastAsia" w:ascii="仿宋_GB2312" w:hAnsi="仿宋_GB2312" w:eastAsia="仿宋_GB2312" w:cs="仿宋_GB2312"/>
          <w:kern w:val="0"/>
          <w:sz w:val="30"/>
          <w:szCs w:val="30"/>
          <w:shd w:val="clear" w:color="auto" w:fill="FFFFFF"/>
        </w:rPr>
        <w:t>教学模式</w:t>
      </w:r>
      <w:r>
        <w:rPr>
          <w:rFonts w:hint="eastAsia" w:ascii="仿宋_GB2312" w:hAnsi="仿宋_GB2312" w:eastAsia="仿宋_GB2312" w:cs="仿宋_GB2312"/>
          <w:kern w:val="0"/>
          <w:sz w:val="30"/>
          <w:szCs w:val="30"/>
          <w:shd w:val="clear" w:color="auto" w:fill="FFFFFF"/>
          <w:lang w:eastAsia="zh-CN"/>
        </w:rPr>
        <w:t>，</w:t>
      </w:r>
      <w:r>
        <w:rPr>
          <w:rFonts w:hint="eastAsia" w:ascii="仿宋_GB2312" w:hAnsi="仿宋_GB2312" w:eastAsia="仿宋_GB2312" w:cs="仿宋_GB2312"/>
          <w:kern w:val="0"/>
          <w:sz w:val="30"/>
          <w:szCs w:val="30"/>
          <w:shd w:val="clear" w:color="auto" w:fill="FFFFFF"/>
        </w:rPr>
        <w:t>以中心小学</w:t>
      </w:r>
      <w:r>
        <w:rPr>
          <w:rFonts w:hint="eastAsia" w:ascii="仿宋_GB2312" w:hAnsi="仿宋_GB2312" w:eastAsia="仿宋_GB2312" w:cs="仿宋_GB2312"/>
          <w:kern w:val="0"/>
          <w:sz w:val="30"/>
          <w:szCs w:val="30"/>
          <w:shd w:val="clear" w:color="auto" w:fill="FFFFFF"/>
          <w:lang w:eastAsia="zh-CN"/>
        </w:rPr>
        <w:t>、崩董小学</w:t>
      </w:r>
      <w:r>
        <w:rPr>
          <w:rFonts w:hint="eastAsia" w:ascii="仿宋_GB2312" w:hAnsi="仿宋_GB2312" w:eastAsia="仿宋_GB2312" w:cs="仿宋_GB2312"/>
          <w:kern w:val="0"/>
          <w:sz w:val="30"/>
          <w:szCs w:val="30"/>
          <w:shd w:val="clear" w:color="auto" w:fill="FFFFFF"/>
        </w:rPr>
        <w:t>为重点，强化教学研究，</w:t>
      </w:r>
      <w:r>
        <w:rPr>
          <w:rFonts w:hint="eastAsia" w:ascii="仿宋_GB2312" w:hAnsi="仿宋_GB2312" w:eastAsia="仿宋_GB2312" w:cs="仿宋_GB2312"/>
          <w:kern w:val="0"/>
          <w:sz w:val="30"/>
          <w:szCs w:val="30"/>
          <w:shd w:val="clear" w:color="auto" w:fill="FFFFFF"/>
          <w:lang w:eastAsia="zh-CN"/>
        </w:rPr>
        <w:t>有</w:t>
      </w:r>
      <w:r>
        <w:rPr>
          <w:rFonts w:hint="eastAsia" w:ascii="仿宋_GB2312" w:hAnsi="仿宋_GB2312" w:eastAsia="仿宋_GB2312" w:cs="仿宋_GB2312"/>
          <w:kern w:val="0"/>
          <w:sz w:val="30"/>
          <w:szCs w:val="30"/>
          <w:shd w:val="clear" w:color="auto" w:fill="FFFFFF"/>
        </w:rPr>
        <w:t>效</w:t>
      </w:r>
      <w:r>
        <w:rPr>
          <w:rFonts w:hint="eastAsia" w:ascii="仿宋_GB2312" w:hAnsi="仿宋_GB2312" w:eastAsia="仿宋_GB2312" w:cs="仿宋_GB2312"/>
          <w:kern w:val="0"/>
          <w:sz w:val="30"/>
          <w:szCs w:val="30"/>
          <w:shd w:val="clear" w:color="auto" w:fill="FFFFFF"/>
          <w:lang w:eastAsia="zh-CN"/>
        </w:rPr>
        <w:t>课堂改革。进一步总结、落实崩董小学省级试点学校课改工作，全力推进全乡中高年级“</w:t>
      </w:r>
      <w:r>
        <w:rPr>
          <w:rFonts w:hint="eastAsia" w:ascii="仿宋_GB2312" w:hAnsi="仿宋_GB2312" w:eastAsia="仿宋_GB2312" w:cs="仿宋_GB2312"/>
          <w:kern w:val="0"/>
          <w:sz w:val="30"/>
          <w:szCs w:val="30"/>
          <w:shd w:val="clear" w:color="auto" w:fill="FFFFFF"/>
          <w:lang w:val="en-US" w:eastAsia="zh-CN"/>
        </w:rPr>
        <w:t>116</w:t>
      </w:r>
      <w:r>
        <w:rPr>
          <w:rFonts w:hint="eastAsia" w:ascii="仿宋_GB2312" w:hAnsi="仿宋_GB2312" w:eastAsia="仿宋_GB2312" w:cs="仿宋_GB2312"/>
          <w:kern w:val="0"/>
          <w:sz w:val="30"/>
          <w:szCs w:val="30"/>
          <w:shd w:val="clear" w:color="auto" w:fill="FFFFFF"/>
          <w:lang w:eastAsia="zh-CN"/>
        </w:rPr>
        <w:t>”课堂教学模式。</w:t>
      </w:r>
    </w:p>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right="0" w:firstLine="600" w:firstLineChars="200"/>
        <w:jc w:val="both"/>
        <w:textAlignment w:val="auto"/>
        <w:outlineLvl w:val="9"/>
        <w:rPr>
          <w:rFonts w:hint="eastAsia" w:ascii="仿宋_GB2312" w:hAnsi="仿宋_GB2312" w:eastAsia="仿宋_GB2312" w:cs="仿宋_GB2312"/>
          <w:sz w:val="30"/>
          <w:szCs w:val="30"/>
          <w:shd w:val="clear" w:color="auto" w:fill="FFFFFF"/>
          <w:lang w:eastAsia="zh-CN"/>
        </w:rPr>
      </w:pPr>
      <w:r>
        <w:rPr>
          <w:rFonts w:hint="eastAsia" w:ascii="仿宋_GB2312" w:hAnsi="仿宋_GB2312" w:eastAsia="仿宋_GB2312" w:cs="仿宋_GB2312"/>
          <w:color w:val="000000"/>
          <w:kern w:val="0"/>
          <w:sz w:val="30"/>
          <w:szCs w:val="30"/>
          <w:shd w:val="clear" w:color="auto" w:fill="FFFFFF"/>
          <w:lang w:val="en-US" w:eastAsia="zh-CN"/>
        </w:rPr>
        <w:t>6、</w:t>
      </w:r>
      <w:r>
        <w:rPr>
          <w:rFonts w:hint="eastAsia" w:ascii="仿宋_GB2312" w:hAnsi="仿宋_GB2312" w:eastAsia="仿宋_GB2312" w:cs="仿宋_GB2312"/>
          <w:sz w:val="30"/>
          <w:szCs w:val="30"/>
          <w:shd w:val="clear" w:color="auto" w:fill="FFFFFF"/>
          <w:lang w:eastAsia="zh-CN"/>
        </w:rPr>
        <w:t>有计划做好校园绿化美化工作，努力建设育人环境，加强校园文化建设，让舒适、和谐的校园留住师生。</w:t>
      </w:r>
    </w:p>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right="0" w:firstLine="600" w:firstLineChars="200"/>
        <w:jc w:val="both"/>
        <w:textAlignment w:val="auto"/>
        <w:outlineLvl w:val="9"/>
        <w:rPr>
          <w:rFonts w:hint="eastAsia" w:ascii="仿宋_GB2312" w:hAnsi="仿宋_GB2312" w:eastAsia="仿宋_GB2312" w:cs="仿宋_GB2312"/>
          <w:sz w:val="30"/>
          <w:szCs w:val="30"/>
          <w:shd w:val="clear" w:color="auto" w:fill="FFFFFF"/>
        </w:rPr>
      </w:pPr>
      <w:r>
        <w:rPr>
          <w:rFonts w:hint="eastAsia" w:ascii="仿宋_GB2312" w:hAnsi="仿宋_GB2312" w:eastAsia="仿宋_GB2312" w:cs="仿宋_GB2312"/>
          <w:b w:val="0"/>
          <w:i w:val="0"/>
          <w:caps w:val="0"/>
          <w:color w:val="000000"/>
          <w:spacing w:val="0"/>
          <w:sz w:val="30"/>
          <w:szCs w:val="30"/>
          <w:shd w:val="clear" w:color="auto" w:fill="FFFFFF"/>
          <w:lang w:val="en-US" w:eastAsia="zh-CN"/>
        </w:rPr>
        <w:t>7、</w:t>
      </w:r>
      <w:r>
        <w:rPr>
          <w:rFonts w:hint="eastAsia" w:ascii="仿宋_GB2312" w:hAnsi="仿宋_GB2312" w:eastAsia="仿宋_GB2312" w:cs="仿宋_GB2312"/>
          <w:b w:val="0"/>
          <w:i w:val="0"/>
          <w:caps w:val="0"/>
          <w:color w:val="000000"/>
          <w:spacing w:val="0"/>
          <w:sz w:val="30"/>
          <w:szCs w:val="30"/>
          <w:shd w:val="clear" w:color="auto" w:fill="FFFFFF"/>
        </w:rPr>
        <w:t>修改、完善学校绩效考核方案和班级考核评比机制，调动教师积极性。</w:t>
      </w:r>
    </w:p>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right="0" w:firstLine="600" w:firstLineChars="200"/>
        <w:jc w:val="both"/>
        <w:textAlignment w:val="auto"/>
        <w:outlineLvl w:val="9"/>
        <w:rPr>
          <w:rFonts w:hint="eastAsia" w:ascii="仿宋_GB2312" w:hAnsi="仿宋_GB2312" w:eastAsia="仿宋_GB2312" w:cs="仿宋_GB2312"/>
          <w:b w:val="0"/>
          <w:i w:val="0"/>
          <w:caps w:val="0"/>
          <w:color w:val="000000"/>
          <w:spacing w:val="0"/>
          <w:sz w:val="30"/>
          <w:szCs w:val="30"/>
          <w:shd w:val="clear" w:color="auto" w:fill="FFFFFF"/>
        </w:rPr>
      </w:pPr>
      <w:r>
        <w:rPr>
          <w:rFonts w:hint="eastAsia" w:ascii="仿宋_GB2312" w:hAnsi="仿宋_GB2312" w:eastAsia="仿宋_GB2312" w:cs="仿宋_GB2312"/>
          <w:b w:val="0"/>
          <w:i w:val="0"/>
          <w:caps w:val="0"/>
          <w:color w:val="000000"/>
          <w:spacing w:val="0"/>
          <w:sz w:val="30"/>
          <w:szCs w:val="30"/>
          <w:shd w:val="clear" w:color="auto" w:fill="FFFFFF"/>
          <w:lang w:val="en-US" w:eastAsia="zh-CN"/>
        </w:rPr>
        <w:t>8、</w:t>
      </w:r>
      <w:r>
        <w:rPr>
          <w:rFonts w:hint="eastAsia" w:ascii="仿宋_GB2312" w:hAnsi="仿宋_GB2312" w:eastAsia="仿宋_GB2312" w:cs="仿宋_GB2312"/>
          <w:b w:val="0"/>
          <w:i w:val="0"/>
          <w:caps w:val="0"/>
          <w:color w:val="000000"/>
          <w:spacing w:val="0"/>
          <w:sz w:val="30"/>
          <w:szCs w:val="30"/>
          <w:shd w:val="clear" w:color="auto" w:fill="FFFFFF"/>
        </w:rPr>
        <w:t>积极拓展学校对外交流的渠道，加大学校宣传力度，树立学校良好的社会形象，沟通校际交流，开阔眼界，紧跟教育发展的潮流。</w:t>
      </w:r>
    </w:p>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right="0" w:firstLine="600" w:firstLineChars="200"/>
        <w:jc w:val="both"/>
        <w:textAlignment w:val="auto"/>
        <w:outlineLvl w:val="9"/>
        <w:rPr>
          <w:rFonts w:hint="eastAsia" w:ascii="仿宋_GB2312" w:hAnsi="仿宋_GB2312" w:eastAsia="仿宋_GB2312" w:cs="仿宋_GB2312"/>
          <w:b w:val="0"/>
          <w:i w:val="0"/>
          <w:caps w:val="0"/>
          <w:color w:val="000000"/>
          <w:spacing w:val="0"/>
          <w:sz w:val="30"/>
          <w:szCs w:val="30"/>
          <w:shd w:val="clear" w:color="auto" w:fill="FFFFFF"/>
        </w:rPr>
      </w:pPr>
      <w:r>
        <w:rPr>
          <w:rFonts w:hint="eastAsia" w:ascii="仿宋_GB2312" w:hAnsi="仿宋_GB2312" w:eastAsia="仿宋_GB2312" w:cs="仿宋_GB2312"/>
          <w:b w:val="0"/>
          <w:i w:val="0"/>
          <w:caps w:val="0"/>
          <w:color w:val="000000"/>
          <w:spacing w:val="0"/>
          <w:sz w:val="30"/>
          <w:szCs w:val="30"/>
          <w:shd w:val="clear" w:color="auto" w:fill="FFFFFF"/>
          <w:lang w:val="en-US" w:eastAsia="zh-CN"/>
        </w:rPr>
        <w:t>9</w:t>
      </w:r>
      <w:r>
        <w:rPr>
          <w:rFonts w:hint="eastAsia" w:ascii="仿宋_GB2312" w:hAnsi="仿宋_GB2312" w:eastAsia="仿宋_GB2312" w:cs="仿宋_GB2312"/>
          <w:b w:val="0"/>
          <w:i w:val="0"/>
          <w:caps w:val="0"/>
          <w:color w:val="000000"/>
          <w:spacing w:val="0"/>
          <w:sz w:val="30"/>
          <w:szCs w:val="30"/>
          <w:shd w:val="clear" w:color="auto" w:fill="FFFFFF"/>
        </w:rPr>
        <w:t>、管好、用好教育设施设备，提高教师使用的能力和水平，充分发挥现代化教学手段提高教学质量。</w:t>
      </w:r>
    </w:p>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right="0" w:firstLine="600" w:firstLineChars="200"/>
        <w:jc w:val="both"/>
        <w:textAlignment w:val="auto"/>
        <w:outlineLvl w:val="9"/>
        <w:rPr>
          <w:rFonts w:hint="eastAsia" w:ascii="仿宋_GB2312" w:hAnsi="仿宋_GB2312" w:eastAsia="仿宋_GB2312" w:cs="仿宋_GB2312"/>
          <w:sz w:val="30"/>
          <w:szCs w:val="30"/>
          <w:shd w:val="clear" w:color="auto" w:fill="FFFFFF"/>
          <w:lang w:eastAsia="zh-CN"/>
        </w:rPr>
      </w:pPr>
      <w:r>
        <w:rPr>
          <w:rFonts w:hint="eastAsia" w:ascii="仿宋_GB2312" w:hAnsi="仿宋_GB2312" w:eastAsia="仿宋_GB2312" w:cs="仿宋_GB2312"/>
          <w:b w:val="0"/>
          <w:i w:val="0"/>
          <w:caps w:val="0"/>
          <w:color w:val="000000"/>
          <w:spacing w:val="0"/>
          <w:sz w:val="30"/>
          <w:szCs w:val="30"/>
          <w:shd w:val="clear" w:color="auto" w:fill="FFFFFF"/>
          <w:lang w:val="en-US" w:eastAsia="zh-CN"/>
        </w:rPr>
        <w:t>10</w:t>
      </w:r>
      <w:r>
        <w:rPr>
          <w:rFonts w:hint="eastAsia" w:ascii="仿宋_GB2312" w:hAnsi="仿宋_GB2312" w:eastAsia="仿宋_GB2312" w:cs="仿宋_GB2312"/>
          <w:b w:val="0"/>
          <w:i w:val="0"/>
          <w:caps w:val="0"/>
          <w:color w:val="000000"/>
          <w:spacing w:val="0"/>
          <w:sz w:val="30"/>
          <w:szCs w:val="30"/>
          <w:shd w:val="clear" w:color="auto" w:fill="FFFFFF"/>
        </w:rPr>
        <w:t>、加强音体美教学工作，拓展学生课外兴趣小组活动项目，提高活动质量，逐步形成学校传统经典项目。</w:t>
      </w:r>
      <w:r>
        <w:rPr>
          <w:rFonts w:hint="eastAsia" w:ascii="仿宋_GB2312" w:hAnsi="仿宋_GB2312" w:eastAsia="仿宋_GB2312" w:cs="仿宋_GB2312"/>
          <w:sz w:val="30"/>
          <w:szCs w:val="30"/>
          <w:shd w:val="clear" w:color="auto" w:fill="FFFFFF"/>
          <w:lang w:eastAsia="zh-CN"/>
        </w:rPr>
        <w:t>充分</w:t>
      </w:r>
      <w:r>
        <w:rPr>
          <w:rFonts w:hint="eastAsia" w:ascii="仿宋_GB2312" w:hAnsi="仿宋_GB2312" w:eastAsia="仿宋_GB2312" w:cs="仿宋_GB2312"/>
          <w:sz w:val="30"/>
          <w:szCs w:val="30"/>
          <w:shd w:val="clear" w:color="auto" w:fill="FFFFFF"/>
        </w:rPr>
        <w:t>发挥学校乡村少年宫优势，提升学校文化品位，</w:t>
      </w:r>
      <w:r>
        <w:rPr>
          <w:rFonts w:hint="eastAsia" w:ascii="仿宋_GB2312" w:hAnsi="仿宋_GB2312" w:eastAsia="仿宋_GB2312" w:cs="仿宋_GB2312"/>
          <w:sz w:val="30"/>
          <w:szCs w:val="30"/>
          <w:shd w:val="clear" w:color="auto" w:fill="FFFFFF"/>
          <w:lang w:eastAsia="zh-CN"/>
        </w:rPr>
        <w:t>突出</w:t>
      </w:r>
      <w:r>
        <w:rPr>
          <w:rFonts w:hint="eastAsia" w:ascii="仿宋_GB2312" w:hAnsi="仿宋_GB2312" w:eastAsia="仿宋_GB2312" w:cs="仿宋_GB2312"/>
          <w:sz w:val="30"/>
          <w:szCs w:val="30"/>
          <w:shd w:val="clear" w:color="auto" w:fill="FFFFFF"/>
        </w:rPr>
        <w:t>学校办学特色。</w:t>
      </w:r>
    </w:p>
    <w:p>
      <w:pPr>
        <w:keepNext w:val="0"/>
        <w:keepLines w:val="0"/>
        <w:pageBreakBefore w:val="0"/>
        <w:kinsoku/>
        <w:wordWrap/>
        <w:overflowPunct/>
        <w:topLinePunct w:val="0"/>
        <w:autoSpaceDE/>
        <w:autoSpaceDN/>
        <w:bidi w:val="0"/>
        <w:adjustRightInd/>
        <w:snapToGrid/>
        <w:spacing w:line="240" w:lineRule="auto"/>
        <w:ind w:right="0"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二、预算单位基本情况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我</w:t>
      </w:r>
      <w:r>
        <w:rPr>
          <w:rFonts w:hint="eastAsia" w:ascii="仿宋_GB2312" w:hAnsi="仿宋_GB2312" w:eastAsia="仿宋_GB2312" w:cs="仿宋_GB2312"/>
          <w:kern w:val="0"/>
          <w:sz w:val="30"/>
          <w:szCs w:val="30"/>
          <w:lang w:eastAsia="zh-CN"/>
        </w:rPr>
        <w:t>单位</w:t>
      </w:r>
      <w:r>
        <w:rPr>
          <w:rFonts w:hint="eastAsia" w:ascii="仿宋_GB2312" w:hAnsi="仿宋_GB2312" w:eastAsia="仿宋_GB2312" w:cs="仿宋_GB2312"/>
          <w:kern w:val="0"/>
          <w:sz w:val="30"/>
          <w:szCs w:val="30"/>
        </w:rPr>
        <w:t>编制</w:t>
      </w:r>
      <w:r>
        <w:rPr>
          <w:rFonts w:hint="eastAsia" w:ascii="仿宋_GB2312" w:hAnsi="仿宋_GB2312" w:eastAsia="仿宋_GB2312" w:cs="仿宋_GB2312"/>
          <w:kern w:val="0"/>
          <w:sz w:val="30"/>
          <w:szCs w:val="30"/>
          <w:lang w:val="en-US" w:eastAsia="zh-CN"/>
        </w:rPr>
        <w:t>2019</w:t>
      </w:r>
      <w:r>
        <w:rPr>
          <w:rFonts w:hint="eastAsia" w:ascii="仿宋_GB2312" w:hAnsi="仿宋_GB2312" w:eastAsia="仿宋_GB2312" w:cs="仿宋_GB2312"/>
          <w:kern w:val="0"/>
          <w:sz w:val="30"/>
          <w:szCs w:val="30"/>
        </w:rPr>
        <w:t>年部门预算单位共</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个。其中：财政全供给单位</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个；部分供给单位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个；特殊供给单位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个；自收自支单位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个。财政全供给单位中行政单</w:t>
      </w:r>
      <w:r>
        <w:rPr>
          <w:rFonts w:hint="eastAsia" w:ascii="仿宋_GB2312" w:hAnsi="仿宋_GB2312" w:eastAsia="仿宋_GB2312" w:cs="仿宋_GB2312"/>
          <w:kern w:val="0"/>
          <w:sz w:val="30"/>
          <w:szCs w:val="30"/>
          <w:lang w:eastAsia="zh-CN"/>
        </w:rPr>
        <w:t>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个；事业单位</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个；非参公管理事业单位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个。截止20</w:t>
      </w:r>
      <w:r>
        <w:rPr>
          <w:rFonts w:hint="eastAsia" w:ascii="仿宋_GB2312" w:hAnsi="仿宋_GB2312" w:eastAsia="仿宋_GB2312" w:cs="仿宋_GB2312"/>
          <w:kern w:val="0"/>
          <w:sz w:val="30"/>
          <w:szCs w:val="30"/>
          <w:lang w:val="en-US" w:eastAsia="zh-CN"/>
        </w:rPr>
        <w:t>18</w:t>
      </w:r>
      <w:r>
        <w:rPr>
          <w:rFonts w:hint="eastAsia" w:ascii="仿宋_GB2312" w:hAnsi="仿宋_GB2312" w:eastAsia="仿宋_GB2312" w:cs="仿宋_GB2312"/>
          <w:kern w:val="0"/>
          <w:sz w:val="30"/>
          <w:szCs w:val="30"/>
        </w:rPr>
        <w:t>年11月统计，部门基本情况如下：</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在职人员编制</w:t>
      </w:r>
      <w:r>
        <w:rPr>
          <w:rFonts w:hint="eastAsia" w:ascii="仿宋_GB2312" w:hAnsi="仿宋_GB2312" w:eastAsia="仿宋_GB2312" w:cs="仿宋_GB2312"/>
          <w:kern w:val="0"/>
          <w:sz w:val="30"/>
          <w:szCs w:val="30"/>
          <w:lang w:val="en-US" w:eastAsia="zh-CN"/>
        </w:rPr>
        <w:t>105</w:t>
      </w:r>
      <w:r>
        <w:rPr>
          <w:rFonts w:hint="eastAsia" w:ascii="仿宋_GB2312" w:hAnsi="仿宋_GB2312" w:eastAsia="仿宋_GB2312" w:cs="仿宋_GB2312"/>
          <w:kern w:val="0"/>
          <w:sz w:val="30"/>
          <w:szCs w:val="30"/>
        </w:rPr>
        <w:t xml:space="preserve">人，其中：行政编制 </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人，事业编制</w:t>
      </w:r>
      <w:r>
        <w:rPr>
          <w:rFonts w:hint="eastAsia" w:ascii="仿宋_GB2312" w:hAnsi="仿宋_GB2312" w:eastAsia="仿宋_GB2312" w:cs="仿宋_GB2312"/>
          <w:kern w:val="0"/>
          <w:sz w:val="30"/>
          <w:szCs w:val="30"/>
          <w:lang w:val="en-US" w:eastAsia="zh-CN"/>
        </w:rPr>
        <w:t>107</w:t>
      </w:r>
      <w:r>
        <w:rPr>
          <w:rFonts w:hint="eastAsia" w:ascii="仿宋_GB2312" w:hAnsi="仿宋_GB2312" w:eastAsia="仿宋_GB2312" w:cs="仿宋_GB2312"/>
          <w:kern w:val="0"/>
          <w:sz w:val="30"/>
          <w:szCs w:val="30"/>
        </w:rPr>
        <w:t>人。在职实有</w:t>
      </w:r>
      <w:r>
        <w:rPr>
          <w:rFonts w:hint="eastAsia" w:ascii="仿宋_GB2312" w:hAnsi="仿宋_GB2312" w:eastAsia="仿宋_GB2312" w:cs="仿宋_GB2312"/>
          <w:kern w:val="0"/>
          <w:sz w:val="30"/>
          <w:szCs w:val="30"/>
          <w:lang w:val="en-US" w:eastAsia="zh-CN"/>
        </w:rPr>
        <w:t>97</w:t>
      </w:r>
      <w:r>
        <w:rPr>
          <w:rFonts w:hint="eastAsia" w:ascii="仿宋_GB2312" w:hAnsi="仿宋_GB2312" w:eastAsia="仿宋_GB2312" w:cs="仿宋_GB2312"/>
          <w:kern w:val="0"/>
          <w:sz w:val="30"/>
          <w:szCs w:val="30"/>
        </w:rPr>
        <w:t xml:space="preserve">人，其中： 财政全供养 </w:t>
      </w:r>
      <w:r>
        <w:rPr>
          <w:rFonts w:hint="eastAsia" w:ascii="仿宋_GB2312" w:hAnsi="仿宋_GB2312" w:eastAsia="仿宋_GB2312" w:cs="仿宋_GB2312"/>
          <w:kern w:val="0"/>
          <w:sz w:val="30"/>
          <w:szCs w:val="30"/>
          <w:lang w:val="en-US" w:eastAsia="zh-CN"/>
        </w:rPr>
        <w:t>97</w:t>
      </w:r>
      <w:r>
        <w:rPr>
          <w:rFonts w:hint="eastAsia" w:ascii="仿宋_GB2312" w:hAnsi="仿宋_GB2312" w:eastAsia="仿宋_GB2312" w:cs="仿宋_GB2312"/>
          <w:kern w:val="0"/>
          <w:sz w:val="30"/>
          <w:szCs w:val="30"/>
        </w:rPr>
        <w:t>人，财政部分供养</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人，非财政供养</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离退休人员</w:t>
      </w:r>
      <w:r>
        <w:rPr>
          <w:rFonts w:hint="eastAsia" w:ascii="仿宋_GB2312" w:hAnsi="仿宋_GB2312" w:eastAsia="仿宋_GB2312" w:cs="仿宋_GB2312"/>
          <w:color w:val="000000"/>
          <w:kern w:val="0"/>
          <w:sz w:val="30"/>
          <w:szCs w:val="30"/>
          <w:lang w:val="en-US" w:eastAsia="zh-CN"/>
        </w:rPr>
        <w:t>18</w:t>
      </w:r>
      <w:r>
        <w:rPr>
          <w:rFonts w:hint="eastAsia" w:ascii="仿宋_GB2312" w:hAnsi="仿宋_GB2312" w:eastAsia="仿宋_GB2312" w:cs="仿宋_GB2312"/>
          <w:color w:val="000000"/>
          <w:kern w:val="0"/>
          <w:sz w:val="30"/>
          <w:szCs w:val="30"/>
        </w:rPr>
        <w:t>人，其中： 离休</w:t>
      </w:r>
      <w:r>
        <w:rPr>
          <w:rFonts w:hint="eastAsia" w:ascii="仿宋_GB2312" w:hAnsi="仿宋_GB2312" w:eastAsia="仿宋_GB2312" w:cs="仿宋_GB2312"/>
          <w:color w:val="000000"/>
          <w:kern w:val="0"/>
          <w:sz w:val="30"/>
          <w:szCs w:val="30"/>
          <w:lang w:val="en-US" w:eastAsia="zh-CN"/>
        </w:rPr>
        <w:t>0</w:t>
      </w:r>
      <w:r>
        <w:rPr>
          <w:rFonts w:hint="eastAsia" w:ascii="仿宋_GB2312" w:hAnsi="仿宋_GB2312" w:eastAsia="仿宋_GB2312" w:cs="仿宋_GB2312"/>
          <w:color w:val="000000"/>
          <w:kern w:val="0"/>
          <w:sz w:val="30"/>
          <w:szCs w:val="30"/>
        </w:rPr>
        <w:t xml:space="preserve"> 人，退休</w:t>
      </w:r>
      <w:r>
        <w:rPr>
          <w:rFonts w:hint="eastAsia" w:ascii="仿宋_GB2312" w:hAnsi="仿宋_GB2312" w:eastAsia="仿宋_GB2312" w:cs="仿宋_GB2312"/>
          <w:color w:val="000000"/>
          <w:kern w:val="0"/>
          <w:sz w:val="30"/>
          <w:szCs w:val="30"/>
          <w:lang w:val="en-US" w:eastAsia="zh-CN"/>
        </w:rPr>
        <w:t>18</w:t>
      </w:r>
      <w:r>
        <w:rPr>
          <w:rFonts w:hint="eastAsia" w:ascii="仿宋_GB2312" w:hAnsi="仿宋_GB2312" w:eastAsia="仿宋_GB2312" w:cs="仿宋_GB2312"/>
          <w:color w:val="000000"/>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车辆编制</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辆，实有车辆</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ascii="黑体" w:hAnsi="黑体" w:eastAsia="黑体"/>
          <w:kern w:val="0"/>
          <w:sz w:val="30"/>
          <w:szCs w:val="30"/>
        </w:rPr>
      </w:pPr>
      <w:r>
        <w:rPr>
          <w:rFonts w:ascii="黑体" w:hAnsi="黑体" w:eastAsia="黑体"/>
          <w:kern w:val="0"/>
          <w:sz w:val="30"/>
          <w:szCs w:val="30"/>
        </w:rPr>
        <w:t>三、预算单位收入情况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ascii="楷体_GB2312" w:eastAsia="楷体_GB2312"/>
          <w:kern w:val="0"/>
          <w:sz w:val="30"/>
          <w:szCs w:val="30"/>
        </w:rPr>
      </w:pPr>
      <w:r>
        <w:rPr>
          <w:rFonts w:ascii="楷体_GB2312" w:eastAsia="楷体_GB2312"/>
          <w:kern w:val="0"/>
          <w:sz w:val="30"/>
          <w:szCs w:val="30"/>
        </w:rPr>
        <w:t>（一）部门财务收入情况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年</w:t>
      </w:r>
      <w:r>
        <w:rPr>
          <w:rFonts w:hint="eastAsia" w:ascii="仿宋_GB2312" w:hAnsi="仿宋_GB2312" w:eastAsia="仿宋_GB2312" w:cs="仿宋_GB2312"/>
          <w:b w:val="0"/>
          <w:bCs w:val="0"/>
          <w:kern w:val="0"/>
          <w:sz w:val="30"/>
          <w:szCs w:val="30"/>
          <w:lang w:eastAsia="zh-CN"/>
        </w:rPr>
        <w:t>盈江县支那乡中心学校</w:t>
      </w:r>
      <w:r>
        <w:rPr>
          <w:rFonts w:hint="eastAsia" w:eastAsia="仿宋_GB2312"/>
          <w:kern w:val="0"/>
          <w:sz w:val="30"/>
          <w:szCs w:val="30"/>
          <w:lang w:eastAsia="zh-CN"/>
        </w:rPr>
        <w:t>校</w:t>
      </w:r>
      <w:r>
        <w:rPr>
          <w:rFonts w:eastAsia="仿宋_GB2312"/>
          <w:kern w:val="0"/>
          <w:sz w:val="30"/>
          <w:szCs w:val="30"/>
        </w:rPr>
        <w:t>财务总收入</w:t>
      </w:r>
      <w:r>
        <w:rPr>
          <w:rFonts w:hint="eastAsia" w:eastAsia="仿宋_GB2312"/>
          <w:kern w:val="0"/>
          <w:sz w:val="30"/>
          <w:szCs w:val="30"/>
          <w:lang w:val="en-US" w:eastAsia="zh-CN"/>
        </w:rPr>
        <w:t>1092.56</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1092.56</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0</w:t>
      </w:r>
      <w:r>
        <w:rPr>
          <w:rFonts w:hint="eastAsia" w:eastAsia="仿宋_GB2312"/>
          <w:kern w:val="0"/>
          <w:sz w:val="30"/>
          <w:szCs w:val="30"/>
        </w:rPr>
        <w:t>万元</w:t>
      </w:r>
      <w:r>
        <w:rPr>
          <w:rFonts w:eastAsia="仿宋_GB2312"/>
          <w:kern w:val="0"/>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ascii="楷体_GB2312" w:eastAsia="楷体_GB2312"/>
          <w:kern w:val="0"/>
          <w:sz w:val="30"/>
          <w:szCs w:val="30"/>
        </w:rPr>
      </w:pPr>
      <w:r>
        <w:rPr>
          <w:rFonts w:ascii="楷体_GB2312" w:eastAsia="楷体_GB2312"/>
          <w:kern w:val="0"/>
          <w:sz w:val="30"/>
          <w:szCs w:val="30"/>
        </w:rPr>
        <w:t>（二）财政拨款收入情况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年部门财政拨款收入 </w:t>
      </w:r>
      <w:r>
        <w:rPr>
          <w:rFonts w:hint="eastAsia" w:eastAsia="仿宋_GB2312"/>
          <w:kern w:val="0"/>
          <w:sz w:val="30"/>
          <w:szCs w:val="30"/>
          <w:lang w:val="en-US" w:eastAsia="zh-CN"/>
        </w:rPr>
        <w:t>1092.56</w:t>
      </w:r>
      <w:r>
        <w:rPr>
          <w:rFonts w:eastAsia="仿宋_GB2312"/>
          <w:kern w:val="0"/>
          <w:sz w:val="30"/>
          <w:szCs w:val="30"/>
        </w:rPr>
        <w:t>万元，其中:本年收入</w:t>
      </w:r>
      <w:r>
        <w:rPr>
          <w:rFonts w:hint="eastAsia" w:eastAsia="仿宋_GB2312"/>
          <w:kern w:val="0"/>
          <w:sz w:val="30"/>
          <w:szCs w:val="30"/>
          <w:lang w:val="en-US" w:eastAsia="zh-CN"/>
        </w:rPr>
        <w:t>1092.56</w:t>
      </w:r>
      <w:r>
        <w:rPr>
          <w:rFonts w:eastAsia="仿宋_GB2312"/>
          <w:kern w:val="0"/>
          <w:sz w:val="30"/>
          <w:szCs w:val="30"/>
        </w:rPr>
        <w:t>万元，上年结转</w:t>
      </w:r>
      <w:r>
        <w:rPr>
          <w:rFonts w:hint="eastAsia" w:eastAsia="仿宋_GB2312"/>
          <w:kern w:val="0"/>
          <w:sz w:val="30"/>
          <w:szCs w:val="30"/>
          <w:lang w:val="en-US" w:eastAsia="zh-CN"/>
        </w:rPr>
        <w:t>0</w:t>
      </w:r>
      <w:r>
        <w:rPr>
          <w:rFonts w:eastAsia="仿宋_GB2312"/>
          <w:kern w:val="0"/>
          <w:sz w:val="30"/>
          <w:szCs w:val="30"/>
        </w:rPr>
        <w:t>万元。本年收入中，一般公共预算财政拨款</w:t>
      </w:r>
      <w:r>
        <w:rPr>
          <w:rFonts w:hint="eastAsia" w:eastAsia="仿宋_GB2312"/>
          <w:kern w:val="0"/>
          <w:sz w:val="30"/>
          <w:szCs w:val="30"/>
          <w:lang w:val="en-US" w:eastAsia="zh-CN"/>
        </w:rPr>
        <w:t>1092.56</w:t>
      </w:r>
      <w:r>
        <w:rPr>
          <w:rFonts w:eastAsia="仿宋_GB2312"/>
          <w:kern w:val="0"/>
          <w:sz w:val="30"/>
          <w:szCs w:val="30"/>
        </w:rPr>
        <w:t>万元（本级财力</w:t>
      </w:r>
      <w:r>
        <w:rPr>
          <w:rFonts w:hint="eastAsia" w:eastAsia="仿宋_GB2312"/>
          <w:kern w:val="0"/>
          <w:sz w:val="30"/>
          <w:szCs w:val="30"/>
          <w:lang w:val="en-US" w:eastAsia="zh-CN"/>
        </w:rPr>
        <w:t>1092.56</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numPr>
          <w:ilvl w:val="0"/>
          <w:numId w:val="2"/>
        </w:numPr>
        <w:kinsoku/>
        <w:wordWrap/>
        <w:overflowPunct/>
        <w:topLinePunct w:val="0"/>
        <w:autoSpaceDE/>
        <w:autoSpaceDN/>
        <w:bidi w:val="0"/>
        <w:adjustRightInd/>
        <w:snapToGrid/>
        <w:ind w:firstLine="600" w:firstLineChars="200"/>
        <w:jc w:val="both"/>
        <w:textAlignment w:val="auto"/>
        <w:rPr>
          <w:rFonts w:ascii="黑体" w:hAnsi="黑体" w:eastAsia="黑体"/>
          <w:kern w:val="0"/>
          <w:sz w:val="30"/>
          <w:szCs w:val="30"/>
        </w:rPr>
      </w:pPr>
      <w:r>
        <w:rPr>
          <w:rFonts w:ascii="黑体" w:hAnsi="黑体" w:eastAsia="黑体"/>
          <w:kern w:val="0"/>
          <w:sz w:val="30"/>
          <w:szCs w:val="30"/>
        </w:rPr>
        <w:t>预算单位支出情况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年部门预算总支出 </w:t>
      </w:r>
      <w:r>
        <w:rPr>
          <w:rFonts w:hint="eastAsia" w:eastAsia="仿宋_GB2312"/>
          <w:kern w:val="0"/>
          <w:sz w:val="30"/>
          <w:szCs w:val="30"/>
          <w:lang w:val="en-US" w:eastAsia="zh-CN"/>
        </w:rPr>
        <w:t>1092.56</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1092.56</w:t>
      </w:r>
      <w:r>
        <w:rPr>
          <w:rFonts w:eastAsia="仿宋_GB2312"/>
          <w:kern w:val="0"/>
          <w:sz w:val="30"/>
          <w:szCs w:val="30"/>
        </w:rPr>
        <w:t>万元，其中，基本支出</w:t>
      </w:r>
      <w:r>
        <w:rPr>
          <w:rFonts w:hint="eastAsia" w:eastAsia="仿宋_GB2312"/>
          <w:kern w:val="0"/>
          <w:sz w:val="30"/>
          <w:szCs w:val="30"/>
          <w:lang w:val="en-US" w:eastAsia="zh-CN"/>
        </w:rPr>
        <w:t>1092.56</w:t>
      </w:r>
      <w:r>
        <w:rPr>
          <w:rFonts w:eastAsia="仿宋_GB2312"/>
          <w:kern w:val="0"/>
          <w:sz w:val="30"/>
          <w:szCs w:val="30"/>
        </w:rPr>
        <w:t>万元</w:t>
      </w:r>
      <w:r>
        <w:rPr>
          <w:rFonts w:hint="eastAsia" w:eastAsia="仿宋_GB2312"/>
          <w:kern w:val="0"/>
          <w:sz w:val="30"/>
          <w:szCs w:val="30"/>
          <w:lang w:eastAsia="zh-CN"/>
        </w:rPr>
        <w:t>；</w:t>
      </w:r>
      <w:r>
        <w:rPr>
          <w:rFonts w:eastAsia="仿宋_GB2312"/>
          <w:kern w:val="0"/>
          <w:sz w:val="30"/>
          <w:szCs w:val="30"/>
        </w:rPr>
        <w:t>项目支出</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eastAsia="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功能科目分组</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“2050202” 教育支出-普通教育-小学教育828.56万元，主要用于工资福利支出和日常学校运行运转。</w:t>
      </w:r>
    </w:p>
    <w:p>
      <w:pPr>
        <w:pStyle w:val="7"/>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“2080502”社会保障和就业支出-行政事业单位离退休-事业单位离退休1.08万元，主要用于离退休人员公用经费支出。</w:t>
      </w:r>
    </w:p>
    <w:p>
      <w:pPr>
        <w:pStyle w:val="7"/>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rPr>
          <w:rFonts w:hint="eastAsia"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sz w:val="30"/>
          <w:szCs w:val="30"/>
          <w:lang w:val="en-US" w:eastAsia="zh-CN"/>
        </w:rPr>
        <w:t>“2080505”社会保障和就业支出-行政事业单位离退休- 事业单位基本养老保险缴费支出155.46万元，</w:t>
      </w:r>
      <w:r>
        <w:rPr>
          <w:rFonts w:hint="eastAsia" w:ascii="仿宋_GB2312" w:hAnsi="仿宋_GB2312" w:eastAsia="仿宋_GB2312" w:cs="仿宋_GB2312"/>
          <w:color w:val="333333"/>
          <w:sz w:val="30"/>
          <w:szCs w:val="30"/>
          <w:shd w:val="clear" w:color="040000" w:fill="FFFFFF"/>
        </w:rPr>
        <w:t>主要反映单位缴交的养老保险支出。</w:t>
      </w:r>
    </w:p>
    <w:p>
      <w:pPr>
        <w:pStyle w:val="7"/>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rPr>
          <w:rFonts w:hint="eastAsia" w:ascii="仿宋_GB2312" w:hAnsi="仿宋_GB2312" w:eastAsia="仿宋_GB2312" w:cs="仿宋_GB2312"/>
          <w:color w:val="333333"/>
          <w:sz w:val="30"/>
          <w:szCs w:val="30"/>
          <w:shd w:val="clear" w:color="040000" w:fill="FFFFFF"/>
          <w:lang w:val="en-US" w:eastAsia="zh-CN"/>
        </w:rPr>
      </w:pPr>
      <w:r>
        <w:rPr>
          <w:rFonts w:hint="eastAsia" w:ascii="仿宋_GB2312" w:hAnsi="仿宋_GB2312" w:eastAsia="仿宋_GB2312" w:cs="仿宋_GB2312"/>
          <w:sz w:val="30"/>
          <w:szCs w:val="30"/>
          <w:lang w:val="en-US" w:eastAsia="zh-CN"/>
        </w:rPr>
        <w:t>“2080506”社会保障和就业支出-行政事业单位离退休- 事业单位职业年金缴费支出1.96万元，</w:t>
      </w:r>
      <w:r>
        <w:rPr>
          <w:rFonts w:hint="eastAsia" w:ascii="仿宋_GB2312" w:hAnsi="仿宋_GB2312" w:eastAsia="仿宋_GB2312" w:cs="仿宋_GB2312"/>
          <w:color w:val="333333"/>
          <w:sz w:val="30"/>
          <w:szCs w:val="30"/>
          <w:shd w:val="clear" w:color="040000" w:fill="FFFFFF"/>
        </w:rPr>
        <w:t>主要反映单位缴交的养老保险</w:t>
      </w:r>
      <w:r>
        <w:rPr>
          <w:rFonts w:hint="eastAsia" w:ascii="仿宋_GB2312" w:hAnsi="仿宋_GB2312" w:eastAsia="仿宋_GB2312" w:cs="仿宋_GB2312"/>
          <w:sz w:val="30"/>
          <w:szCs w:val="30"/>
          <w:lang w:val="en-US" w:eastAsia="zh-CN"/>
        </w:rPr>
        <w:t>职业年金</w:t>
      </w:r>
      <w:r>
        <w:rPr>
          <w:rFonts w:hint="eastAsia" w:ascii="仿宋_GB2312" w:hAnsi="仿宋_GB2312" w:eastAsia="仿宋_GB2312" w:cs="仿宋_GB2312"/>
          <w:color w:val="333333"/>
          <w:sz w:val="30"/>
          <w:szCs w:val="30"/>
          <w:shd w:val="clear" w:color="040000" w:fill="FFFFFF"/>
        </w:rPr>
        <w:t>支出。</w:t>
      </w:r>
    </w:p>
    <w:p>
      <w:pPr>
        <w:pStyle w:val="7"/>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7" w:lineRule="atLeast"/>
        <w:ind w:right="0" w:firstLine="600" w:firstLineChars="200"/>
        <w:jc w:val="both"/>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“2210201”</w:t>
      </w:r>
      <w:r>
        <w:rPr>
          <w:rFonts w:hint="eastAsia" w:ascii="仿宋_GB2312" w:hAnsi="仿宋_GB2312" w:eastAsia="仿宋_GB2312" w:cs="仿宋_GB2312"/>
          <w:color w:val="333333"/>
          <w:sz w:val="30"/>
          <w:szCs w:val="30"/>
          <w:shd w:val="clear" w:color="040000" w:fill="FFFFFF"/>
        </w:rPr>
        <w:t>住房保障支出-住房改革支出-住房公积金</w:t>
      </w:r>
      <w:r>
        <w:rPr>
          <w:rFonts w:hint="eastAsia" w:ascii="仿宋_GB2312" w:hAnsi="仿宋_GB2312" w:eastAsia="仿宋_GB2312" w:cs="仿宋_GB2312"/>
          <w:color w:val="333333"/>
          <w:sz w:val="30"/>
          <w:szCs w:val="30"/>
          <w:shd w:val="clear" w:color="040000" w:fill="FFFFFF"/>
          <w:lang w:val="en-US" w:eastAsia="zh-CN"/>
        </w:rPr>
        <w:t>105.5</w:t>
      </w:r>
      <w:r>
        <w:rPr>
          <w:rFonts w:hint="eastAsia" w:ascii="仿宋_GB2312" w:hAnsi="仿宋_GB2312" w:eastAsia="仿宋_GB2312" w:cs="仿宋_GB2312"/>
          <w:color w:val="333333"/>
          <w:sz w:val="30"/>
          <w:szCs w:val="30"/>
          <w:shd w:val="clear" w:color="040000" w:fill="FFFFFF"/>
        </w:rPr>
        <w:t>万元，主要用于单位住房公积金支出。</w:t>
      </w:r>
    </w:p>
    <w:p>
      <w:pPr>
        <w:keepNext w:val="0"/>
        <w:keepLines w:val="0"/>
        <w:pageBreakBefore w:val="0"/>
        <w:widowControl/>
        <w:numPr>
          <w:ilvl w:val="0"/>
          <w:numId w:val="3"/>
        </w:numPr>
        <w:kinsoku/>
        <w:wordWrap/>
        <w:overflowPunct/>
        <w:topLinePunct w:val="0"/>
        <w:autoSpaceDE/>
        <w:autoSpaceDN/>
        <w:bidi w:val="0"/>
        <w:adjustRightInd/>
        <w:snapToGrid/>
        <w:ind w:firstLine="600" w:firstLineChars="200"/>
        <w:jc w:val="both"/>
        <w:textAlignment w:val="auto"/>
        <w:rPr>
          <w:rFonts w:ascii="楷体_GB2312" w:eastAsia="楷体_GB2312"/>
          <w:color w:val="auto"/>
          <w:kern w:val="0"/>
          <w:sz w:val="30"/>
          <w:szCs w:val="30"/>
        </w:rPr>
      </w:pPr>
      <w:r>
        <w:rPr>
          <w:rFonts w:hint="eastAsia" w:ascii="楷体_GB2312" w:eastAsia="楷体_GB2312"/>
          <w:color w:val="auto"/>
          <w:kern w:val="0"/>
          <w:sz w:val="30"/>
          <w:szCs w:val="30"/>
        </w:rPr>
        <w:t>财政拨款安排</w:t>
      </w:r>
      <w:r>
        <w:rPr>
          <w:rFonts w:ascii="楷体_GB2312" w:eastAsia="楷体_GB2312"/>
          <w:color w:val="auto"/>
          <w:kern w:val="0"/>
          <w:sz w:val="30"/>
          <w:szCs w:val="30"/>
        </w:rPr>
        <w:t>支出按经济科目分类情况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hint="eastAsia" w:ascii="仿宋_GB2312" w:hAnsi="仿宋_GB2312" w:eastAsia="仿宋_GB2312" w:cs="仿宋_GB2312"/>
          <w:color w:val="auto"/>
          <w:kern w:val="0"/>
          <w:sz w:val="30"/>
          <w:szCs w:val="30"/>
          <w:lang w:eastAsia="zh-CN"/>
        </w:rPr>
      </w:pP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color w:val="auto"/>
          <w:sz w:val="30"/>
          <w:szCs w:val="30"/>
          <w:lang w:val="en-US" w:eastAsia="zh-CN"/>
        </w:rPr>
        <w:t>2050202” 教育支出-普通教育-小学教育</w:t>
      </w:r>
      <w:r>
        <w:rPr>
          <w:rFonts w:hint="eastAsia" w:ascii="仿宋_GB2312" w:hAnsi="仿宋_GB2312" w:eastAsia="仿宋_GB2312" w:cs="仿宋_GB2312"/>
          <w:sz w:val="30"/>
          <w:szCs w:val="30"/>
          <w:lang w:val="en-US" w:eastAsia="zh-CN"/>
        </w:rPr>
        <w:t>828.56</w:t>
      </w:r>
      <w:r>
        <w:rPr>
          <w:rFonts w:hint="eastAsia" w:ascii="仿宋_GB2312" w:hAnsi="仿宋_GB2312" w:eastAsia="仿宋_GB2312" w:cs="仿宋_GB2312"/>
          <w:color w:val="auto"/>
          <w:sz w:val="30"/>
          <w:szCs w:val="30"/>
          <w:lang w:val="en-US" w:eastAsia="zh-CN"/>
        </w:rPr>
        <w:t>万元，其中</w:t>
      </w:r>
      <w:r>
        <w:rPr>
          <w:rFonts w:hint="eastAsia" w:ascii="仿宋_GB2312" w:hAnsi="仿宋_GB2312" w:eastAsia="仿宋_GB2312" w:cs="仿宋_GB2312"/>
          <w:color w:val="auto"/>
          <w:kern w:val="0"/>
          <w:sz w:val="30"/>
          <w:szCs w:val="30"/>
        </w:rPr>
        <w:t>：基本支出</w:t>
      </w:r>
      <w:r>
        <w:rPr>
          <w:rFonts w:hint="eastAsia" w:ascii="仿宋_GB2312" w:hAnsi="仿宋_GB2312" w:eastAsia="仿宋_GB2312" w:cs="仿宋_GB2312"/>
          <w:sz w:val="30"/>
          <w:szCs w:val="30"/>
          <w:lang w:val="en-US" w:eastAsia="zh-CN"/>
        </w:rPr>
        <w:t>828.56</w:t>
      </w:r>
      <w:r>
        <w:rPr>
          <w:rFonts w:hint="eastAsia" w:ascii="仿宋_GB2312" w:hAnsi="仿宋_GB2312" w:eastAsia="仿宋_GB2312" w:cs="仿宋_GB2312"/>
          <w:color w:val="auto"/>
          <w:kern w:val="0"/>
          <w:sz w:val="30"/>
          <w:szCs w:val="30"/>
        </w:rPr>
        <w:t>万元，主要用于301工资福利支出</w:t>
      </w:r>
      <w:r>
        <w:rPr>
          <w:rFonts w:hint="eastAsia" w:ascii="仿宋_GB2312" w:hAnsi="仿宋_GB2312" w:eastAsia="仿宋_GB2312" w:cs="仿宋_GB2312"/>
          <w:color w:val="auto"/>
          <w:kern w:val="0"/>
          <w:sz w:val="30"/>
          <w:szCs w:val="30"/>
          <w:lang w:val="en-US" w:eastAsia="zh-CN"/>
        </w:rPr>
        <w:t>819.39</w:t>
      </w:r>
      <w:r>
        <w:rPr>
          <w:rFonts w:hint="eastAsia" w:ascii="仿宋_GB2312" w:hAnsi="仿宋_GB2312" w:eastAsia="仿宋_GB2312" w:cs="仿宋_GB2312"/>
          <w:color w:val="auto"/>
          <w:kern w:val="0"/>
          <w:sz w:val="30"/>
          <w:szCs w:val="30"/>
        </w:rPr>
        <w:t>万元，302商品和服务支出</w:t>
      </w:r>
      <w:r>
        <w:rPr>
          <w:rFonts w:hint="eastAsia" w:ascii="仿宋_GB2312" w:hAnsi="仿宋_GB2312" w:eastAsia="仿宋_GB2312" w:cs="仿宋_GB2312"/>
          <w:color w:val="auto"/>
          <w:kern w:val="0"/>
          <w:sz w:val="30"/>
          <w:szCs w:val="30"/>
          <w:lang w:val="en-US" w:eastAsia="zh-CN"/>
        </w:rPr>
        <w:t>5.93</w:t>
      </w:r>
      <w:r>
        <w:rPr>
          <w:rFonts w:hint="eastAsia" w:ascii="仿宋_GB2312" w:hAnsi="仿宋_GB2312" w:eastAsia="仿宋_GB2312" w:cs="仿宋_GB2312"/>
          <w:color w:val="auto"/>
          <w:kern w:val="0"/>
          <w:sz w:val="30"/>
          <w:szCs w:val="30"/>
        </w:rPr>
        <w:t>万元</w:t>
      </w:r>
      <w:r>
        <w:rPr>
          <w:rFonts w:hint="eastAsia" w:ascii="仿宋_GB2312" w:hAnsi="仿宋_GB2312" w:eastAsia="仿宋_GB2312" w:cs="仿宋_GB2312"/>
          <w:color w:val="auto"/>
          <w:kern w:val="0"/>
          <w:sz w:val="30"/>
          <w:szCs w:val="30"/>
          <w:lang w:eastAsia="zh-CN"/>
        </w:rPr>
        <w:t>，</w:t>
      </w:r>
      <w:r>
        <w:rPr>
          <w:rFonts w:hint="eastAsia" w:ascii="仿宋_GB2312" w:hAnsi="仿宋_GB2312" w:eastAsia="仿宋_GB2312" w:cs="仿宋_GB2312"/>
          <w:sz w:val="30"/>
          <w:szCs w:val="30"/>
          <w:lang w:val="en-US" w:eastAsia="zh-CN"/>
        </w:rPr>
        <w:t>主要用于</w:t>
      </w:r>
      <w:r>
        <w:rPr>
          <w:rFonts w:hint="eastAsia" w:ascii="仿宋_GB2312" w:hAnsi="仿宋_GB2312" w:eastAsia="仿宋_GB2312" w:cs="仿宋_GB2312"/>
          <w:color w:val="auto"/>
          <w:kern w:val="0"/>
          <w:sz w:val="30"/>
          <w:szCs w:val="30"/>
          <w:lang w:val="en-US" w:eastAsia="zh-CN"/>
        </w:rPr>
        <w:t>303对个人和家庭补助3.24万元</w:t>
      </w:r>
      <w:r>
        <w:rPr>
          <w:rFonts w:hint="eastAsia" w:ascii="仿宋_GB2312" w:hAnsi="仿宋_GB2312" w:eastAsia="仿宋_GB2312" w:cs="仿宋_GB2312"/>
          <w:color w:val="auto"/>
          <w:kern w:val="0"/>
          <w:sz w:val="30"/>
          <w:szCs w:val="30"/>
          <w:lang w:eastAsia="zh-CN"/>
        </w:rPr>
        <w:t>；</w:t>
      </w:r>
      <w:r>
        <w:rPr>
          <w:rFonts w:hint="eastAsia" w:ascii="仿宋_GB2312" w:hAnsi="仿宋_GB2312" w:eastAsia="仿宋_GB2312" w:cs="仿宋_GB2312"/>
          <w:color w:val="auto"/>
          <w:kern w:val="0"/>
          <w:sz w:val="30"/>
          <w:szCs w:val="30"/>
        </w:rPr>
        <w:t>项目支出0万元</w:t>
      </w:r>
      <w:r>
        <w:rPr>
          <w:rFonts w:hint="eastAsia" w:ascii="仿宋_GB2312" w:hAnsi="仿宋_GB2312" w:eastAsia="仿宋_GB2312" w:cs="仿宋_GB2312"/>
          <w:color w:val="auto"/>
          <w:kern w:val="0"/>
          <w:sz w:val="30"/>
          <w:szCs w:val="30"/>
          <w:lang w:eastAsia="zh-CN"/>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hint="eastAsia" w:ascii="仿宋_GB2312" w:hAnsi="仿宋_GB2312" w:eastAsia="仿宋_GB2312" w:cs="仿宋_GB2312"/>
          <w:color w:val="auto"/>
          <w:kern w:val="0"/>
          <w:sz w:val="30"/>
          <w:szCs w:val="30"/>
          <w:lang w:val="en-US" w:eastAsia="zh-CN"/>
        </w:rPr>
      </w:pPr>
      <w:r>
        <w:rPr>
          <w:rFonts w:hint="eastAsia" w:ascii="仿宋_GB2312" w:hAnsi="仿宋_GB2312" w:eastAsia="仿宋_GB2312" w:cs="仿宋_GB2312"/>
          <w:sz w:val="30"/>
          <w:szCs w:val="30"/>
          <w:lang w:val="en-US" w:eastAsia="zh-CN"/>
        </w:rPr>
        <w:t>“2080502”社会保障和就业支出-行政事业单位离退休支出1.08万元，其中基本支出1.08万元，主要用于</w:t>
      </w:r>
      <w:r>
        <w:rPr>
          <w:rFonts w:hint="eastAsia" w:ascii="仿宋_GB2312" w:hAnsi="仿宋_GB2312" w:eastAsia="仿宋_GB2312" w:cs="仿宋_GB2312"/>
          <w:color w:val="auto"/>
          <w:kern w:val="0"/>
          <w:sz w:val="30"/>
          <w:szCs w:val="30"/>
          <w:lang w:val="en-US" w:eastAsia="zh-CN"/>
        </w:rPr>
        <w:t>3</w:t>
      </w:r>
      <w:r>
        <w:rPr>
          <w:rFonts w:hint="eastAsia" w:ascii="仿宋_GB2312" w:hAnsi="仿宋_GB2312" w:eastAsia="仿宋_GB2312" w:cs="仿宋_GB2312"/>
          <w:color w:val="auto"/>
          <w:kern w:val="0"/>
          <w:sz w:val="30"/>
          <w:szCs w:val="30"/>
        </w:rPr>
        <w:t>02商品和服务支出</w:t>
      </w:r>
      <w:r>
        <w:rPr>
          <w:rFonts w:hint="eastAsia" w:ascii="仿宋_GB2312" w:hAnsi="仿宋_GB2312" w:eastAsia="仿宋_GB2312" w:cs="仿宋_GB2312"/>
          <w:sz w:val="30"/>
          <w:szCs w:val="30"/>
          <w:lang w:val="en-US" w:eastAsia="zh-CN"/>
        </w:rPr>
        <w:t>1.08</w:t>
      </w:r>
      <w:r>
        <w:rPr>
          <w:rFonts w:hint="eastAsia" w:ascii="仿宋_GB2312" w:hAnsi="仿宋_GB2312" w:eastAsia="仿宋_GB2312" w:cs="仿宋_GB2312"/>
          <w:color w:val="auto"/>
          <w:kern w:val="0"/>
          <w:sz w:val="30"/>
          <w:szCs w:val="30"/>
        </w:rPr>
        <w:t>万元</w:t>
      </w:r>
      <w:r>
        <w:rPr>
          <w:rFonts w:hint="eastAsia" w:ascii="仿宋_GB2312" w:hAnsi="仿宋_GB2312" w:eastAsia="仿宋_GB2312" w:cs="仿宋_GB2312"/>
          <w:color w:val="auto"/>
          <w:kern w:val="0"/>
          <w:sz w:val="30"/>
          <w:szCs w:val="30"/>
          <w:lang w:val="en-US" w:eastAsia="zh-CN"/>
        </w:rPr>
        <w:t>；项目支出0万元。</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hint="eastAsia" w:ascii="仿宋_GB2312" w:hAnsi="仿宋_GB2312" w:eastAsia="仿宋_GB2312" w:cs="仿宋_GB2312"/>
          <w:color w:val="auto"/>
          <w:kern w:val="0"/>
          <w:sz w:val="30"/>
          <w:szCs w:val="30"/>
          <w:lang w:eastAsia="zh-CN"/>
        </w:rPr>
      </w:pPr>
      <w:r>
        <w:rPr>
          <w:rFonts w:hint="eastAsia" w:ascii="仿宋_GB2312" w:hAnsi="仿宋_GB2312" w:eastAsia="仿宋_GB2312" w:cs="仿宋_GB2312"/>
          <w:color w:val="auto"/>
          <w:kern w:val="0"/>
          <w:sz w:val="30"/>
          <w:szCs w:val="30"/>
          <w:lang w:val="en-US" w:eastAsia="zh-CN"/>
        </w:rPr>
        <w:t>“</w:t>
      </w:r>
      <w:r>
        <w:rPr>
          <w:rFonts w:hint="eastAsia" w:ascii="仿宋_GB2312" w:eastAsia="仿宋_GB2312"/>
          <w:color w:val="auto"/>
          <w:kern w:val="0"/>
          <w:sz w:val="30"/>
          <w:szCs w:val="30"/>
        </w:rPr>
        <w:t>2080505</w:t>
      </w:r>
      <w:r>
        <w:rPr>
          <w:rFonts w:hint="eastAsia" w:ascii="仿宋_GB2312" w:eastAsia="仿宋_GB2312"/>
          <w:color w:val="auto"/>
          <w:kern w:val="0"/>
          <w:sz w:val="30"/>
          <w:szCs w:val="30"/>
          <w:lang w:eastAsia="zh-CN"/>
        </w:rPr>
        <w:t>”</w:t>
      </w:r>
      <w:r>
        <w:rPr>
          <w:rFonts w:hint="eastAsia" w:ascii="仿宋_GB2312" w:eastAsia="仿宋_GB2312"/>
          <w:color w:val="auto"/>
          <w:kern w:val="0"/>
          <w:sz w:val="30"/>
          <w:szCs w:val="30"/>
        </w:rPr>
        <w:t>机关事业单位基本养老保险缴费支出</w:t>
      </w:r>
      <w:r>
        <w:rPr>
          <w:rFonts w:hint="eastAsia" w:ascii="仿宋_GB2312" w:hAnsi="仿宋_GB2312" w:eastAsia="仿宋_GB2312" w:cs="仿宋_GB2312"/>
          <w:sz w:val="30"/>
          <w:szCs w:val="30"/>
          <w:lang w:val="en-US" w:eastAsia="zh-CN"/>
        </w:rPr>
        <w:t>155.46</w:t>
      </w:r>
      <w:r>
        <w:rPr>
          <w:rFonts w:hint="eastAsia" w:ascii="仿宋_GB2312" w:eastAsia="仿宋_GB2312"/>
          <w:color w:val="auto"/>
          <w:kern w:val="0"/>
          <w:sz w:val="30"/>
          <w:szCs w:val="30"/>
        </w:rPr>
        <w:t>万元</w:t>
      </w:r>
      <w:r>
        <w:rPr>
          <w:rFonts w:hint="eastAsia" w:ascii="仿宋_GB2312" w:hAnsi="仿宋_GB2312" w:eastAsia="仿宋_GB2312" w:cs="仿宋_GB2312"/>
          <w:color w:val="auto"/>
          <w:kern w:val="0"/>
          <w:sz w:val="30"/>
          <w:szCs w:val="30"/>
        </w:rPr>
        <w:t>其中：基本支出</w:t>
      </w:r>
      <w:r>
        <w:rPr>
          <w:rFonts w:hint="eastAsia" w:ascii="仿宋_GB2312" w:hAnsi="仿宋_GB2312" w:eastAsia="仿宋_GB2312" w:cs="仿宋_GB2312"/>
          <w:sz w:val="30"/>
          <w:szCs w:val="30"/>
          <w:lang w:val="en-US" w:eastAsia="zh-CN"/>
        </w:rPr>
        <w:t>155.46</w:t>
      </w:r>
      <w:r>
        <w:rPr>
          <w:rFonts w:hint="eastAsia" w:ascii="仿宋_GB2312" w:hAnsi="仿宋_GB2312" w:eastAsia="仿宋_GB2312" w:cs="仿宋_GB2312"/>
          <w:color w:val="auto"/>
          <w:kern w:val="0"/>
          <w:sz w:val="30"/>
          <w:szCs w:val="30"/>
        </w:rPr>
        <w:t>万元，主要用于301工资福利支出中的</w:t>
      </w:r>
      <w:r>
        <w:rPr>
          <w:rFonts w:hint="eastAsia" w:ascii="仿宋_GB2312" w:eastAsia="仿宋_GB2312"/>
          <w:color w:val="auto"/>
          <w:kern w:val="0"/>
          <w:sz w:val="30"/>
          <w:szCs w:val="30"/>
        </w:rPr>
        <w:t>单位基本养老保险缴费支出</w:t>
      </w:r>
      <w:r>
        <w:rPr>
          <w:rFonts w:hint="eastAsia" w:ascii="仿宋_GB2312" w:hAnsi="仿宋_GB2312" w:eastAsia="仿宋_GB2312" w:cs="仿宋_GB2312"/>
          <w:sz w:val="30"/>
          <w:szCs w:val="30"/>
          <w:lang w:val="en-US" w:eastAsia="zh-CN"/>
        </w:rPr>
        <w:t>155.46</w:t>
      </w:r>
      <w:r>
        <w:rPr>
          <w:rFonts w:hint="eastAsia" w:ascii="仿宋_GB2312" w:eastAsia="仿宋_GB2312"/>
          <w:color w:val="auto"/>
          <w:kern w:val="0"/>
          <w:sz w:val="30"/>
          <w:szCs w:val="30"/>
        </w:rPr>
        <w:t>万元</w:t>
      </w:r>
      <w:r>
        <w:rPr>
          <w:rFonts w:hint="eastAsia" w:ascii="仿宋_GB2312" w:eastAsia="仿宋_GB2312"/>
          <w:color w:val="auto"/>
          <w:kern w:val="0"/>
          <w:sz w:val="30"/>
          <w:szCs w:val="30"/>
          <w:lang w:eastAsia="zh-CN"/>
        </w:rPr>
        <w:t>；</w:t>
      </w:r>
      <w:r>
        <w:rPr>
          <w:rFonts w:hint="eastAsia" w:ascii="仿宋_GB2312" w:hAnsi="仿宋_GB2312" w:eastAsia="仿宋_GB2312" w:cs="仿宋_GB2312"/>
          <w:color w:val="auto"/>
          <w:kern w:val="0"/>
          <w:sz w:val="30"/>
          <w:szCs w:val="30"/>
        </w:rPr>
        <w:t>项目支出0万元</w:t>
      </w:r>
      <w:r>
        <w:rPr>
          <w:rFonts w:hint="eastAsia" w:ascii="仿宋_GB2312" w:hAnsi="仿宋_GB2312" w:eastAsia="仿宋_GB2312" w:cs="仿宋_GB2312"/>
          <w:color w:val="auto"/>
          <w:kern w:val="0"/>
          <w:sz w:val="30"/>
          <w:szCs w:val="30"/>
          <w:lang w:eastAsia="zh-CN"/>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hint="eastAsia" w:ascii="仿宋_GB2312" w:hAnsi="仿宋_GB2312" w:eastAsia="仿宋_GB2312" w:cs="仿宋_GB2312"/>
          <w:color w:val="auto"/>
          <w:kern w:val="0"/>
          <w:sz w:val="30"/>
          <w:szCs w:val="30"/>
          <w:lang w:eastAsia="zh-CN"/>
        </w:rPr>
      </w:pPr>
      <w:r>
        <w:rPr>
          <w:rFonts w:hint="eastAsia" w:ascii="仿宋_GB2312" w:hAnsi="仿宋_GB2312" w:eastAsia="仿宋_GB2312" w:cs="仿宋_GB2312"/>
          <w:color w:val="auto"/>
          <w:sz w:val="30"/>
          <w:szCs w:val="30"/>
          <w:lang w:val="en-US" w:eastAsia="zh-CN"/>
        </w:rPr>
        <w:t>“2080506”社会保障和就业支出-行政事业单位离退休- 机关事业单位职业年金缴费支出</w:t>
      </w:r>
      <w:r>
        <w:rPr>
          <w:rFonts w:hint="eastAsia" w:ascii="仿宋_GB2312" w:hAnsi="仿宋_GB2312" w:eastAsia="仿宋_GB2312" w:cs="仿宋_GB2312"/>
          <w:sz w:val="30"/>
          <w:szCs w:val="30"/>
          <w:lang w:val="en-US" w:eastAsia="zh-CN"/>
        </w:rPr>
        <w:t>1.96</w:t>
      </w:r>
      <w:r>
        <w:rPr>
          <w:rFonts w:hint="eastAsia" w:ascii="仿宋_GB2312" w:hAnsi="仿宋_GB2312" w:eastAsia="仿宋_GB2312" w:cs="仿宋_GB2312"/>
          <w:color w:val="auto"/>
          <w:sz w:val="30"/>
          <w:szCs w:val="30"/>
          <w:lang w:val="en-US" w:eastAsia="zh-CN"/>
        </w:rPr>
        <w:t>万元，其中基本支出</w:t>
      </w:r>
      <w:r>
        <w:rPr>
          <w:rFonts w:hint="eastAsia" w:ascii="仿宋_GB2312" w:hAnsi="仿宋_GB2312" w:eastAsia="仿宋_GB2312" w:cs="仿宋_GB2312"/>
          <w:sz w:val="30"/>
          <w:szCs w:val="30"/>
          <w:lang w:val="en-US" w:eastAsia="zh-CN"/>
        </w:rPr>
        <w:t>1.96万元，</w:t>
      </w:r>
      <w:r>
        <w:rPr>
          <w:rFonts w:hint="eastAsia" w:ascii="仿宋_GB2312" w:hAnsi="仿宋_GB2312" w:eastAsia="仿宋_GB2312" w:cs="仿宋_GB2312"/>
          <w:color w:val="auto"/>
          <w:kern w:val="0"/>
          <w:sz w:val="30"/>
          <w:szCs w:val="30"/>
        </w:rPr>
        <w:t>主要用于301工资福利支出中的</w:t>
      </w:r>
      <w:r>
        <w:rPr>
          <w:rFonts w:hint="eastAsia" w:ascii="仿宋_GB2312" w:eastAsia="仿宋_GB2312"/>
          <w:color w:val="auto"/>
          <w:kern w:val="0"/>
          <w:sz w:val="30"/>
          <w:szCs w:val="30"/>
        </w:rPr>
        <w:t>单位</w:t>
      </w:r>
      <w:r>
        <w:rPr>
          <w:rFonts w:hint="eastAsia" w:ascii="仿宋_GB2312" w:eastAsia="仿宋_GB2312"/>
          <w:color w:val="auto"/>
          <w:kern w:val="0"/>
          <w:sz w:val="30"/>
          <w:szCs w:val="30"/>
          <w:lang w:eastAsia="zh-CN"/>
        </w:rPr>
        <w:t>职业年金</w:t>
      </w:r>
      <w:r>
        <w:rPr>
          <w:rFonts w:hint="eastAsia" w:ascii="仿宋_GB2312" w:eastAsia="仿宋_GB2312"/>
          <w:color w:val="auto"/>
          <w:kern w:val="0"/>
          <w:sz w:val="30"/>
          <w:szCs w:val="30"/>
        </w:rPr>
        <w:t>缴费支出</w:t>
      </w:r>
      <w:r>
        <w:rPr>
          <w:rFonts w:hint="eastAsia" w:ascii="仿宋_GB2312" w:hAnsi="仿宋_GB2312" w:eastAsia="仿宋_GB2312" w:cs="仿宋_GB2312"/>
          <w:sz w:val="30"/>
          <w:szCs w:val="30"/>
          <w:lang w:val="en-US" w:eastAsia="zh-CN"/>
        </w:rPr>
        <w:t>1.96</w:t>
      </w:r>
      <w:r>
        <w:rPr>
          <w:rFonts w:hint="eastAsia" w:ascii="仿宋_GB2312" w:eastAsia="仿宋_GB2312"/>
          <w:color w:val="auto"/>
          <w:kern w:val="0"/>
          <w:sz w:val="30"/>
          <w:szCs w:val="30"/>
        </w:rPr>
        <w:t>万元</w:t>
      </w:r>
      <w:r>
        <w:rPr>
          <w:rFonts w:hint="eastAsia" w:ascii="仿宋_GB2312" w:eastAsia="仿宋_GB2312"/>
          <w:color w:val="auto"/>
          <w:kern w:val="0"/>
          <w:sz w:val="30"/>
          <w:szCs w:val="30"/>
          <w:lang w:eastAsia="zh-CN"/>
        </w:rPr>
        <w:t>；</w:t>
      </w:r>
      <w:r>
        <w:rPr>
          <w:rFonts w:hint="eastAsia" w:ascii="仿宋_GB2312" w:hAnsi="仿宋_GB2312" w:eastAsia="仿宋_GB2312" w:cs="仿宋_GB2312"/>
          <w:color w:val="auto"/>
          <w:kern w:val="0"/>
          <w:sz w:val="30"/>
          <w:szCs w:val="30"/>
        </w:rPr>
        <w:t>项目支出0万元</w:t>
      </w:r>
      <w:r>
        <w:rPr>
          <w:rFonts w:hint="eastAsia" w:ascii="仿宋_GB2312" w:hAnsi="仿宋_GB2312" w:eastAsia="仿宋_GB2312" w:cs="仿宋_GB2312"/>
          <w:color w:val="auto"/>
          <w:kern w:val="0"/>
          <w:sz w:val="30"/>
          <w:szCs w:val="30"/>
          <w:lang w:eastAsia="zh-CN"/>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ascii="楷体_GB2312" w:eastAsia="楷体_GB2312"/>
          <w:color w:val="auto"/>
          <w:kern w:val="0"/>
          <w:sz w:val="30"/>
          <w:szCs w:val="30"/>
        </w:rPr>
      </w:pPr>
      <w:r>
        <w:rPr>
          <w:rFonts w:hint="eastAsia" w:ascii="仿宋_GB2312" w:hAnsi="仿宋_GB2312" w:eastAsia="仿宋_GB2312" w:cs="仿宋_GB2312"/>
          <w:color w:val="auto"/>
          <w:sz w:val="30"/>
          <w:szCs w:val="30"/>
          <w:lang w:val="en-US" w:eastAsia="zh-CN"/>
        </w:rPr>
        <w:t>“2210201”</w:t>
      </w:r>
      <w:r>
        <w:rPr>
          <w:rFonts w:hint="eastAsia" w:ascii="仿宋_GB2312" w:hAnsi="仿宋_GB2312" w:eastAsia="仿宋_GB2312" w:cs="仿宋_GB2312"/>
          <w:color w:val="auto"/>
          <w:sz w:val="30"/>
          <w:szCs w:val="30"/>
          <w:shd w:val="clear" w:color="040000" w:fill="FFFFFF"/>
        </w:rPr>
        <w:t>住房保障支出-住房改革支出</w:t>
      </w:r>
      <w:r>
        <w:rPr>
          <w:rFonts w:hint="eastAsia" w:ascii="仿宋_GB2312" w:hAnsi="仿宋_GB2312" w:eastAsia="仿宋_GB2312" w:cs="仿宋_GB2312"/>
          <w:color w:val="333333"/>
          <w:sz w:val="30"/>
          <w:szCs w:val="30"/>
          <w:shd w:val="clear" w:color="040000" w:fill="FFFFFF"/>
          <w:lang w:val="en-US" w:eastAsia="zh-CN"/>
        </w:rPr>
        <w:t>105.5</w:t>
      </w:r>
      <w:r>
        <w:rPr>
          <w:rFonts w:hint="eastAsia" w:ascii="仿宋_GB2312" w:eastAsia="仿宋_GB2312"/>
          <w:color w:val="auto"/>
          <w:kern w:val="0"/>
          <w:sz w:val="30"/>
          <w:szCs w:val="30"/>
        </w:rPr>
        <w:t>万元</w:t>
      </w:r>
      <w:r>
        <w:rPr>
          <w:rFonts w:hint="eastAsia" w:ascii="仿宋_GB2312" w:hAnsi="仿宋_GB2312" w:eastAsia="仿宋_GB2312" w:cs="仿宋_GB2312"/>
          <w:color w:val="auto"/>
          <w:kern w:val="0"/>
          <w:sz w:val="30"/>
          <w:szCs w:val="30"/>
        </w:rPr>
        <w:t>其中：基本支出</w:t>
      </w:r>
      <w:r>
        <w:rPr>
          <w:rFonts w:hint="eastAsia" w:ascii="仿宋_GB2312" w:hAnsi="仿宋_GB2312" w:eastAsia="仿宋_GB2312" w:cs="仿宋_GB2312"/>
          <w:color w:val="333333"/>
          <w:sz w:val="30"/>
          <w:szCs w:val="30"/>
          <w:shd w:val="clear" w:color="040000" w:fill="FFFFFF"/>
          <w:lang w:val="en-US" w:eastAsia="zh-CN"/>
        </w:rPr>
        <w:t>105.5</w:t>
      </w:r>
      <w:r>
        <w:rPr>
          <w:rFonts w:hint="eastAsia" w:ascii="仿宋_GB2312" w:hAnsi="仿宋_GB2312" w:eastAsia="仿宋_GB2312" w:cs="仿宋_GB2312"/>
          <w:color w:val="auto"/>
          <w:kern w:val="0"/>
          <w:sz w:val="30"/>
          <w:szCs w:val="30"/>
        </w:rPr>
        <w:t>万元，主要用于301工资福利支出中的住房公积金</w:t>
      </w:r>
      <w:r>
        <w:rPr>
          <w:rFonts w:hint="eastAsia" w:ascii="仿宋_GB2312" w:hAnsi="仿宋_GB2312" w:eastAsia="仿宋_GB2312" w:cs="仿宋_GB2312"/>
          <w:color w:val="333333"/>
          <w:sz w:val="30"/>
          <w:szCs w:val="30"/>
          <w:shd w:val="clear" w:color="040000" w:fill="FFFFFF"/>
          <w:lang w:val="en-US" w:eastAsia="zh-CN"/>
        </w:rPr>
        <w:t>105.5</w:t>
      </w:r>
      <w:r>
        <w:rPr>
          <w:rFonts w:hint="eastAsia" w:ascii="仿宋_GB2312" w:eastAsia="仿宋_GB2312"/>
          <w:color w:val="auto"/>
          <w:kern w:val="0"/>
          <w:sz w:val="30"/>
          <w:szCs w:val="30"/>
        </w:rPr>
        <w:t>万元</w:t>
      </w:r>
      <w:r>
        <w:rPr>
          <w:rFonts w:hint="eastAsia" w:ascii="仿宋_GB2312" w:eastAsia="仿宋_GB2312"/>
          <w:color w:val="auto"/>
          <w:kern w:val="0"/>
          <w:sz w:val="30"/>
          <w:szCs w:val="30"/>
          <w:lang w:eastAsia="zh-CN"/>
        </w:rPr>
        <w:t>；</w:t>
      </w:r>
      <w:r>
        <w:rPr>
          <w:rFonts w:hint="eastAsia" w:ascii="仿宋_GB2312" w:hAnsi="仿宋_GB2312" w:eastAsia="仿宋_GB2312" w:cs="仿宋_GB2312"/>
          <w:color w:val="auto"/>
          <w:kern w:val="0"/>
          <w:sz w:val="30"/>
          <w:szCs w:val="30"/>
        </w:rPr>
        <w:t>项目支出0万元</w:t>
      </w:r>
      <w:r>
        <w:rPr>
          <w:rFonts w:hint="eastAsia" w:ascii="仿宋_GB2312" w:hAnsi="仿宋_GB2312" w:eastAsia="仿宋_GB2312" w:cs="仿宋_GB2312"/>
          <w:color w:val="auto"/>
          <w:kern w:val="0"/>
          <w:sz w:val="30"/>
          <w:szCs w:val="30"/>
          <w:lang w:eastAsia="zh-CN"/>
        </w:rPr>
        <w:t>。</w:t>
      </w:r>
    </w:p>
    <w:p>
      <w:pPr>
        <w:keepNext w:val="0"/>
        <w:keepLines w:val="0"/>
        <w:pageBreakBefore w:val="0"/>
        <w:widowControl/>
        <w:numPr>
          <w:ilvl w:val="0"/>
          <w:numId w:val="4"/>
        </w:numPr>
        <w:kinsoku/>
        <w:wordWrap/>
        <w:overflowPunct/>
        <w:topLinePunct w:val="0"/>
        <w:autoSpaceDE/>
        <w:autoSpaceDN/>
        <w:bidi w:val="0"/>
        <w:adjustRightInd/>
        <w:snapToGrid/>
        <w:ind w:firstLine="600" w:firstLineChars="200"/>
        <w:jc w:val="both"/>
        <w:textAlignment w:val="auto"/>
        <w:rPr>
          <w:rFonts w:ascii="黑体" w:hAnsi="黑体" w:eastAsia="黑体"/>
          <w:kern w:val="0"/>
          <w:sz w:val="30"/>
          <w:szCs w:val="30"/>
        </w:rPr>
      </w:pPr>
      <w:r>
        <w:rPr>
          <w:rFonts w:hint="eastAsia" w:ascii="黑体" w:hAnsi="黑体" w:eastAsia="黑体"/>
          <w:kern w:val="0"/>
          <w:sz w:val="30"/>
          <w:szCs w:val="30"/>
          <w:lang w:eastAsia="zh-CN"/>
        </w:rPr>
        <w:t>县</w:t>
      </w:r>
      <w:r>
        <w:rPr>
          <w:rFonts w:ascii="黑体" w:hAnsi="黑体" w:eastAsia="黑体"/>
          <w:kern w:val="0"/>
          <w:sz w:val="30"/>
          <w:szCs w:val="30"/>
        </w:rPr>
        <w:t>对下</w:t>
      </w:r>
      <w:r>
        <w:rPr>
          <w:rFonts w:hint="eastAsia" w:ascii="黑体" w:hAnsi="黑体" w:eastAsia="黑体"/>
          <w:kern w:val="0"/>
          <w:sz w:val="30"/>
          <w:szCs w:val="30"/>
        </w:rPr>
        <w:t>专</w:t>
      </w:r>
      <w:r>
        <w:rPr>
          <w:rFonts w:ascii="黑体" w:hAnsi="黑体" w:eastAsia="黑体"/>
          <w:kern w:val="0"/>
          <w:sz w:val="30"/>
          <w:szCs w:val="30"/>
        </w:rPr>
        <w:t>项转移支付情况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本单位2019年无</w:t>
      </w:r>
      <w:r>
        <w:rPr>
          <w:rFonts w:hint="eastAsia" w:ascii="仿宋_GB2312" w:hAnsi="仿宋_GB2312" w:eastAsia="仿宋_GB2312" w:cs="仿宋_GB2312"/>
          <w:kern w:val="0"/>
          <w:sz w:val="30"/>
          <w:szCs w:val="30"/>
          <w:lang w:eastAsia="zh-CN"/>
        </w:rPr>
        <w:t>县</w:t>
      </w:r>
      <w:r>
        <w:rPr>
          <w:rFonts w:hint="eastAsia" w:ascii="仿宋_GB2312" w:hAnsi="仿宋_GB2312" w:eastAsia="仿宋_GB2312" w:cs="仿宋_GB2312"/>
          <w:kern w:val="0"/>
          <w:sz w:val="30"/>
          <w:szCs w:val="30"/>
        </w:rPr>
        <w:t>对下专项转移支付</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ascii="黑体" w:hAnsi="黑体" w:eastAsia="黑体"/>
          <w:kern w:val="0"/>
          <w:sz w:val="30"/>
          <w:szCs w:val="30"/>
        </w:rPr>
      </w:pPr>
      <w:r>
        <w:rPr>
          <w:rFonts w:ascii="黑体" w:hAnsi="黑体" w:eastAsia="黑体"/>
          <w:kern w:val="0"/>
          <w:sz w:val="30"/>
          <w:szCs w:val="30"/>
        </w:rPr>
        <w:t>六、政府采购预算情况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eastAsia="仿宋_GB2312"/>
          <w:kern w:val="0"/>
          <w:sz w:val="30"/>
          <w:szCs w:val="30"/>
        </w:rPr>
      </w:pPr>
      <w:r>
        <w:rPr>
          <w:rFonts w:hint="eastAsia" w:eastAsia="仿宋_GB2312"/>
          <w:kern w:val="0"/>
          <w:sz w:val="30"/>
          <w:szCs w:val="30"/>
          <w:lang w:val="en-US" w:eastAsia="zh-CN"/>
        </w:rPr>
        <w:t>无</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eastAsia="仿宋_GB2312"/>
          <w:kern w:val="0"/>
          <w:sz w:val="30"/>
          <w:szCs w:val="30"/>
        </w:rPr>
      </w:pPr>
      <w:r>
        <w:rPr>
          <w:rFonts w:hint="eastAsia" w:ascii="黑体" w:hAnsi="黑体" w:eastAsia="黑体"/>
          <w:kern w:val="0"/>
          <w:sz w:val="30"/>
          <w:szCs w:val="30"/>
        </w:rPr>
        <w:t>七、预算收支增减变化情况说明</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rPr>
          <w:rFonts w:hint="eastAsia" w:ascii="楷体_GB2312" w:eastAsia="楷体_GB2312"/>
          <w:kern w:val="0"/>
          <w:sz w:val="30"/>
          <w:szCs w:val="30"/>
        </w:rPr>
      </w:pPr>
      <w:r>
        <w:rPr>
          <w:rFonts w:hint="eastAsia" w:ascii="楷体_GB2312" w:eastAsia="楷体_GB2312"/>
          <w:kern w:val="0"/>
          <w:sz w:val="30"/>
          <w:szCs w:val="30"/>
        </w:rPr>
        <w:t>部门“三公”经费增减变化情况及原因说明</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left="0" w:right="0" w:firstLine="600" w:firstLineChars="200"/>
        <w:jc w:val="both"/>
        <w:textAlignment w:val="auto"/>
        <w:rPr>
          <w:rFonts w:hint="eastAsia" w:ascii="仿宋_GB2312" w:eastAsia="仿宋_GB2312"/>
          <w:kern w:val="0"/>
          <w:sz w:val="30"/>
          <w:szCs w:val="30"/>
        </w:rPr>
      </w:pPr>
      <w:r>
        <w:rPr>
          <w:rFonts w:hint="eastAsia" w:ascii="仿宋_GB2312" w:eastAsia="仿宋_GB2312"/>
          <w:kern w:val="0"/>
          <w:sz w:val="30"/>
          <w:szCs w:val="30"/>
        </w:rPr>
        <w:t>2019年</w:t>
      </w:r>
      <w:r>
        <w:rPr>
          <w:rFonts w:hint="eastAsia" w:ascii="仿宋_GB2312" w:eastAsia="仿宋_GB2312"/>
          <w:kern w:val="0"/>
          <w:sz w:val="30"/>
          <w:szCs w:val="30"/>
          <w:lang w:eastAsia="zh-CN"/>
        </w:rPr>
        <w:t>盈江县支那乡中心学校</w:t>
      </w:r>
      <w:r>
        <w:rPr>
          <w:rFonts w:hint="eastAsia" w:ascii="仿宋_GB2312" w:eastAsia="仿宋_GB2312"/>
          <w:kern w:val="0"/>
          <w:sz w:val="30"/>
          <w:szCs w:val="30"/>
        </w:rPr>
        <w:t>“三公”经费预算数为</w:t>
      </w:r>
      <w:r>
        <w:rPr>
          <w:rFonts w:hint="eastAsia" w:ascii="仿宋_GB2312" w:eastAsia="仿宋_GB2312"/>
          <w:kern w:val="0"/>
          <w:sz w:val="30"/>
          <w:szCs w:val="30"/>
          <w:lang w:val="en-US" w:eastAsia="zh-CN"/>
        </w:rPr>
        <w:t>3.46</w:t>
      </w:r>
      <w:r>
        <w:rPr>
          <w:rFonts w:hint="eastAsia" w:ascii="仿宋_GB2312" w:eastAsia="仿宋_GB2312"/>
          <w:kern w:val="0"/>
          <w:sz w:val="30"/>
          <w:szCs w:val="30"/>
        </w:rPr>
        <w:t>万元，其中：因公出国（境）费用0万元、公务接待费</w:t>
      </w:r>
      <w:r>
        <w:rPr>
          <w:rFonts w:hint="eastAsia" w:ascii="仿宋_GB2312" w:eastAsia="仿宋_GB2312"/>
          <w:kern w:val="0"/>
          <w:sz w:val="30"/>
          <w:szCs w:val="30"/>
          <w:lang w:val="en-US" w:eastAsia="zh-CN"/>
        </w:rPr>
        <w:t>1.44</w:t>
      </w:r>
      <w:r>
        <w:rPr>
          <w:rFonts w:hint="eastAsia" w:ascii="仿宋_GB2312" w:eastAsia="仿宋_GB2312"/>
          <w:kern w:val="0"/>
          <w:sz w:val="30"/>
          <w:szCs w:val="30"/>
        </w:rPr>
        <w:t>万元、公务用车购置及运行费</w:t>
      </w:r>
      <w:r>
        <w:rPr>
          <w:rFonts w:hint="eastAsia" w:ascii="仿宋_GB2312" w:eastAsia="仿宋_GB2312"/>
          <w:kern w:val="0"/>
          <w:sz w:val="30"/>
          <w:szCs w:val="30"/>
          <w:lang w:val="en-US" w:eastAsia="zh-CN"/>
        </w:rPr>
        <w:t>2.02</w:t>
      </w:r>
      <w:r>
        <w:rPr>
          <w:rFonts w:hint="eastAsia" w:ascii="仿宋_GB2312" w:eastAsia="仿宋_GB2312"/>
          <w:kern w:val="0"/>
          <w:sz w:val="30"/>
          <w:szCs w:val="30"/>
        </w:rPr>
        <w:t>万元,其中:公务用车购置费0万元、公务用车运行费</w:t>
      </w:r>
      <w:r>
        <w:rPr>
          <w:rFonts w:hint="eastAsia" w:ascii="仿宋_GB2312" w:eastAsia="仿宋_GB2312"/>
          <w:kern w:val="0"/>
          <w:sz w:val="30"/>
          <w:szCs w:val="30"/>
          <w:lang w:val="en-US" w:eastAsia="zh-CN"/>
        </w:rPr>
        <w:t>2.02</w:t>
      </w:r>
      <w:r>
        <w:rPr>
          <w:rFonts w:hint="eastAsia" w:ascii="仿宋_GB2312" w:eastAsia="仿宋_GB2312"/>
          <w:kern w:val="0"/>
          <w:sz w:val="30"/>
          <w:szCs w:val="30"/>
        </w:rPr>
        <w:t>万元。与上年三公”经费预算数</w:t>
      </w:r>
      <w:r>
        <w:rPr>
          <w:rFonts w:hint="eastAsia" w:ascii="仿宋_GB2312" w:eastAsia="仿宋_GB2312"/>
          <w:kern w:val="0"/>
          <w:sz w:val="30"/>
          <w:szCs w:val="30"/>
          <w:lang w:val="en-US" w:eastAsia="zh-CN"/>
        </w:rPr>
        <w:t>3.46</w:t>
      </w:r>
      <w:r>
        <w:rPr>
          <w:rFonts w:hint="eastAsia" w:ascii="仿宋_GB2312" w:eastAsia="仿宋_GB2312"/>
          <w:kern w:val="0"/>
          <w:sz w:val="30"/>
          <w:szCs w:val="30"/>
        </w:rPr>
        <w:t>万元相比持平。其中:因公出国（境）费用0万元与上年预算数0万元持平，公务接待费</w:t>
      </w:r>
      <w:r>
        <w:rPr>
          <w:rFonts w:hint="eastAsia" w:ascii="仿宋_GB2312" w:eastAsia="仿宋_GB2312"/>
          <w:kern w:val="0"/>
          <w:sz w:val="30"/>
          <w:szCs w:val="30"/>
          <w:lang w:val="en-US" w:eastAsia="zh-CN"/>
        </w:rPr>
        <w:t>1.44</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1.44</w:t>
      </w:r>
      <w:r>
        <w:rPr>
          <w:rFonts w:hint="eastAsia" w:ascii="仿宋_GB2312" w:eastAsia="仿宋_GB2312"/>
          <w:kern w:val="0"/>
          <w:sz w:val="30"/>
          <w:szCs w:val="30"/>
        </w:rPr>
        <w:t>万元持平</w:t>
      </w:r>
      <w:r>
        <w:rPr>
          <w:rFonts w:hint="eastAsia" w:ascii="仿宋_GB2312" w:eastAsia="仿宋_GB2312"/>
          <w:kern w:val="0"/>
          <w:sz w:val="30"/>
          <w:szCs w:val="30"/>
          <w:lang w:eastAsia="zh-CN"/>
        </w:rPr>
        <w:t>。</w:t>
      </w:r>
      <w:r>
        <w:rPr>
          <w:rFonts w:hint="eastAsia" w:ascii="仿宋_GB2312" w:eastAsia="仿宋_GB2312"/>
          <w:kern w:val="0"/>
          <w:sz w:val="30"/>
          <w:szCs w:val="30"/>
        </w:rPr>
        <w:t>公务用车购置及运行费</w:t>
      </w:r>
      <w:r>
        <w:rPr>
          <w:rFonts w:hint="eastAsia" w:ascii="仿宋_GB2312" w:eastAsia="仿宋_GB2312"/>
          <w:kern w:val="0"/>
          <w:sz w:val="30"/>
          <w:szCs w:val="30"/>
          <w:lang w:val="en-US" w:eastAsia="zh-CN"/>
        </w:rPr>
        <w:t>2.02</w:t>
      </w:r>
      <w:r>
        <w:rPr>
          <w:rFonts w:hint="eastAsia" w:ascii="仿宋_GB2312" w:eastAsia="仿宋_GB2312"/>
          <w:kern w:val="0"/>
          <w:sz w:val="30"/>
          <w:szCs w:val="30"/>
        </w:rPr>
        <w:t>万元</w:t>
      </w:r>
      <w:r>
        <w:rPr>
          <w:rFonts w:hint="eastAsia" w:ascii="仿宋_GB2312" w:eastAsia="仿宋_GB2312"/>
          <w:kern w:val="0"/>
          <w:sz w:val="30"/>
          <w:szCs w:val="30"/>
          <w:lang w:eastAsia="zh-CN"/>
        </w:rPr>
        <w:t>，</w:t>
      </w:r>
      <w:r>
        <w:rPr>
          <w:rFonts w:hint="eastAsia" w:ascii="仿宋_GB2312" w:eastAsia="仿宋_GB2312"/>
          <w:kern w:val="0"/>
          <w:sz w:val="30"/>
          <w:szCs w:val="30"/>
        </w:rPr>
        <w:t>其中:公务用车购置费0万元、公务用车运行费</w:t>
      </w:r>
      <w:r>
        <w:rPr>
          <w:rFonts w:hint="eastAsia" w:ascii="仿宋_GB2312" w:eastAsia="仿宋_GB2312"/>
          <w:kern w:val="0"/>
          <w:sz w:val="30"/>
          <w:szCs w:val="30"/>
          <w:lang w:val="en-US" w:eastAsia="zh-CN"/>
        </w:rPr>
        <w:t>2.02</w:t>
      </w:r>
      <w:r>
        <w:rPr>
          <w:rFonts w:hint="eastAsia" w:ascii="仿宋_GB2312" w:eastAsia="仿宋_GB2312"/>
          <w:kern w:val="0"/>
          <w:sz w:val="30"/>
          <w:szCs w:val="30"/>
        </w:rPr>
        <w:t>万元</w:t>
      </w:r>
      <w:r>
        <w:rPr>
          <w:rFonts w:hint="eastAsia" w:ascii="仿宋_GB2312" w:eastAsia="仿宋_GB2312"/>
          <w:kern w:val="0"/>
          <w:sz w:val="30"/>
          <w:szCs w:val="30"/>
          <w:lang w:eastAsia="zh-CN"/>
        </w:rPr>
        <w:t>，</w:t>
      </w:r>
      <w:r>
        <w:rPr>
          <w:rFonts w:hint="eastAsia" w:ascii="仿宋_GB2312" w:eastAsia="仿宋_GB2312"/>
          <w:kern w:val="0"/>
          <w:sz w:val="30"/>
          <w:szCs w:val="30"/>
        </w:rPr>
        <w:t>与上年预算数</w:t>
      </w:r>
      <w:r>
        <w:rPr>
          <w:rFonts w:hint="eastAsia" w:ascii="仿宋_GB2312" w:eastAsia="仿宋_GB2312"/>
          <w:kern w:val="0"/>
          <w:sz w:val="30"/>
          <w:szCs w:val="30"/>
          <w:lang w:val="en-US" w:eastAsia="zh-CN"/>
        </w:rPr>
        <w:t>2.02</w:t>
      </w:r>
      <w:r>
        <w:rPr>
          <w:rFonts w:hint="eastAsia" w:ascii="仿宋_GB2312" w:eastAsia="仿宋_GB2312"/>
          <w:kern w:val="0"/>
          <w:sz w:val="30"/>
          <w:szCs w:val="30"/>
        </w:rPr>
        <w:t>万元持平。</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left="0" w:right="0" w:firstLine="600" w:firstLineChars="200"/>
        <w:jc w:val="both"/>
        <w:textAlignment w:val="auto"/>
        <w:rPr>
          <w:rFonts w:hint="eastAsia" w:ascii="仿宋_GB2312" w:hAnsi="仿宋_GB2312" w:eastAsia="仿宋_GB2312" w:cs="仿宋_GB2312"/>
          <w:color w:val="FF0000"/>
          <w:sz w:val="30"/>
          <w:szCs w:val="30"/>
          <w:lang w:eastAsia="zh-CN"/>
        </w:rPr>
      </w:pPr>
      <w:r>
        <w:rPr>
          <w:rFonts w:hint="eastAsia" w:ascii="楷体" w:hAnsi="楷体" w:eastAsia="楷体" w:cs="楷体"/>
          <w:kern w:val="0"/>
          <w:sz w:val="30"/>
          <w:szCs w:val="30"/>
        </w:rPr>
        <w:t>（二）</w:t>
      </w:r>
      <w:r>
        <w:rPr>
          <w:rFonts w:hint="eastAsia" w:ascii="楷体_GB2312" w:hAnsi="Times New Roman" w:eastAsia="楷体_GB2312" w:cs="Times New Roman"/>
          <w:kern w:val="0"/>
          <w:sz w:val="30"/>
          <w:szCs w:val="30"/>
          <w:lang w:val="en-US" w:eastAsia="zh-CN" w:bidi="ar-SA"/>
        </w:rPr>
        <w:t>预算收入增减变化情况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hint="eastAsia" w:ascii="仿宋_GB2312" w:hAnsi="仿宋_GB2312" w:eastAsia="仿宋_GB2312" w:cs="仿宋_GB2312"/>
          <w:color w:val="FF0000"/>
          <w:sz w:val="30"/>
          <w:szCs w:val="30"/>
          <w:lang w:eastAsia="zh-CN"/>
        </w:rPr>
      </w:pPr>
      <w:r>
        <w:rPr>
          <w:rFonts w:hint="eastAsia" w:ascii="仿宋_GB2312" w:hAnsi="仿宋_GB2312" w:eastAsia="仿宋_GB2312" w:cs="仿宋_GB2312"/>
          <w:kern w:val="0"/>
          <w:sz w:val="30"/>
          <w:szCs w:val="30"/>
          <w:lang w:val="en-US" w:eastAsia="zh-CN"/>
        </w:rPr>
        <w:t>2019年部门预算收入1092.56</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，比上年预算数</w:t>
      </w:r>
      <w:r>
        <w:rPr>
          <w:rFonts w:hint="eastAsia" w:ascii="仿宋_GB2312" w:hAnsi="仿宋_GB2312" w:eastAsia="仿宋_GB2312" w:cs="仿宋_GB2312"/>
          <w:kern w:val="0"/>
          <w:sz w:val="30"/>
          <w:szCs w:val="30"/>
          <w:lang w:val="en-US" w:eastAsia="zh-CN"/>
        </w:rPr>
        <w:t>991.27万元</w:t>
      </w:r>
      <w:r>
        <w:rPr>
          <w:rFonts w:hint="eastAsia" w:ascii="仿宋_GB2312" w:hAnsi="仿宋_GB2312" w:eastAsia="仿宋_GB2312" w:cs="仿宋_GB2312"/>
          <w:kern w:val="0"/>
          <w:sz w:val="30"/>
          <w:szCs w:val="30"/>
          <w:lang w:eastAsia="zh-CN"/>
        </w:rPr>
        <w:t>增</w:t>
      </w:r>
      <w:r>
        <w:rPr>
          <w:rFonts w:hint="eastAsia" w:ascii="仿宋_GB2312" w:hAnsi="仿宋_GB2312" w:eastAsia="仿宋_GB2312" w:cs="仿宋_GB2312"/>
          <w:kern w:val="0"/>
          <w:sz w:val="30"/>
          <w:szCs w:val="30"/>
          <w:lang w:val="en-US" w:eastAsia="zh-CN"/>
        </w:rPr>
        <w:t>101.29万元，增加10.22%。增加原因：调增人员工资。</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hint="eastAsia" w:ascii="楷体_GB2312" w:hAnsi="Times New Roman" w:eastAsia="楷体_GB2312" w:cs="Times New Roman"/>
          <w:kern w:val="0"/>
          <w:sz w:val="30"/>
          <w:szCs w:val="30"/>
          <w:lang w:val="en-US" w:eastAsia="zh-CN" w:bidi="ar-SA"/>
        </w:rPr>
      </w:pPr>
      <w:r>
        <w:rPr>
          <w:rFonts w:hint="eastAsia" w:ascii="楷体" w:hAnsi="楷体" w:eastAsia="楷体" w:cs="楷体"/>
          <w:kern w:val="0"/>
          <w:sz w:val="30"/>
          <w:szCs w:val="30"/>
        </w:rPr>
        <w:t>（</w:t>
      </w:r>
      <w:r>
        <w:rPr>
          <w:rFonts w:hint="eastAsia" w:ascii="楷体" w:hAnsi="楷体" w:eastAsia="楷体" w:cs="楷体"/>
          <w:kern w:val="0"/>
          <w:sz w:val="30"/>
          <w:szCs w:val="30"/>
          <w:lang w:eastAsia="zh-CN"/>
        </w:rPr>
        <w:t>三</w:t>
      </w:r>
      <w:r>
        <w:rPr>
          <w:rFonts w:hint="eastAsia" w:ascii="楷体" w:hAnsi="楷体" w:eastAsia="楷体" w:cs="楷体"/>
          <w:kern w:val="0"/>
          <w:sz w:val="30"/>
          <w:szCs w:val="30"/>
        </w:rPr>
        <w:t>）</w:t>
      </w:r>
      <w:r>
        <w:rPr>
          <w:rFonts w:hint="eastAsia" w:ascii="楷体_GB2312" w:hAnsi="Times New Roman" w:eastAsia="楷体_GB2312" w:cs="Times New Roman"/>
          <w:kern w:val="0"/>
          <w:sz w:val="30"/>
          <w:szCs w:val="30"/>
          <w:lang w:val="en-US" w:eastAsia="zh-CN" w:bidi="ar-SA"/>
        </w:rPr>
        <w:t>部门基本支出预算变动的主要原因，对本年与上年同口径数据比对情况分析</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hint="eastAsia" w:ascii="楷体" w:hAnsi="楷体" w:eastAsia="楷体" w:cs="楷体"/>
          <w:kern w:val="0"/>
          <w:sz w:val="30"/>
          <w:szCs w:val="30"/>
        </w:rPr>
      </w:pPr>
      <w:r>
        <w:rPr>
          <w:rFonts w:hint="eastAsia" w:ascii="仿宋_GB2312" w:eastAsia="仿宋_GB2312"/>
          <w:kern w:val="0"/>
          <w:sz w:val="30"/>
          <w:szCs w:val="30"/>
        </w:rPr>
        <w:t>2019 年盈江县</w:t>
      </w:r>
      <w:r>
        <w:rPr>
          <w:rFonts w:hint="eastAsia" w:ascii="仿宋_GB2312" w:eastAsia="仿宋_GB2312"/>
          <w:kern w:val="0"/>
          <w:sz w:val="30"/>
          <w:szCs w:val="30"/>
          <w:lang w:eastAsia="zh-CN"/>
        </w:rPr>
        <w:t>支那乡中心学校</w:t>
      </w:r>
      <w:r>
        <w:rPr>
          <w:rFonts w:hint="eastAsia" w:ascii="仿宋_GB2312" w:eastAsia="仿宋_GB2312"/>
          <w:kern w:val="0"/>
          <w:sz w:val="30"/>
          <w:szCs w:val="30"/>
        </w:rPr>
        <w:t>基本支出</w:t>
      </w:r>
      <w:r>
        <w:rPr>
          <w:rFonts w:hint="eastAsia" w:ascii="仿宋_GB2312" w:hAnsi="仿宋_GB2312" w:eastAsia="仿宋_GB2312" w:cs="仿宋_GB2312"/>
          <w:kern w:val="0"/>
          <w:sz w:val="30"/>
          <w:szCs w:val="30"/>
          <w:lang w:val="en-US" w:eastAsia="zh-CN"/>
        </w:rPr>
        <w:t>1092.56</w:t>
      </w:r>
      <w:r>
        <w:rPr>
          <w:rFonts w:hint="eastAsia" w:ascii="仿宋_GB2312" w:eastAsia="仿宋_GB2312"/>
          <w:kern w:val="0"/>
          <w:sz w:val="30"/>
          <w:szCs w:val="30"/>
        </w:rPr>
        <w:t>万元与上年同期数</w:t>
      </w:r>
      <w:r>
        <w:rPr>
          <w:rFonts w:hint="eastAsia" w:ascii="仿宋_GB2312" w:hAnsi="仿宋_GB2312" w:eastAsia="仿宋_GB2312" w:cs="仿宋_GB2312"/>
          <w:kern w:val="0"/>
          <w:sz w:val="30"/>
          <w:szCs w:val="30"/>
          <w:lang w:val="en-US" w:eastAsia="zh-CN"/>
        </w:rPr>
        <w:t>991.27</w:t>
      </w:r>
      <w:r>
        <w:rPr>
          <w:rFonts w:hint="eastAsia" w:ascii="仿宋_GB2312" w:eastAsia="仿宋_GB2312"/>
          <w:kern w:val="0"/>
          <w:sz w:val="30"/>
          <w:szCs w:val="30"/>
        </w:rPr>
        <w:t>万元相比，增加</w:t>
      </w:r>
      <w:r>
        <w:rPr>
          <w:rFonts w:hint="eastAsia" w:ascii="仿宋_GB2312" w:hAnsi="仿宋_GB2312" w:eastAsia="仿宋_GB2312" w:cs="仿宋_GB2312"/>
          <w:kern w:val="0"/>
          <w:sz w:val="30"/>
          <w:szCs w:val="30"/>
          <w:lang w:val="en-US" w:eastAsia="zh-CN"/>
        </w:rPr>
        <w:t>101.29</w:t>
      </w:r>
      <w:r>
        <w:rPr>
          <w:rFonts w:hint="eastAsia" w:ascii="仿宋_GB2312" w:eastAsia="仿宋_GB2312"/>
          <w:kern w:val="0"/>
          <w:sz w:val="30"/>
          <w:szCs w:val="30"/>
        </w:rPr>
        <w:t>万元增幅为</w:t>
      </w:r>
      <w:r>
        <w:rPr>
          <w:rFonts w:hint="eastAsia" w:ascii="仿宋_GB2312" w:hAnsi="仿宋_GB2312" w:eastAsia="仿宋_GB2312" w:cs="仿宋_GB2312"/>
          <w:kern w:val="0"/>
          <w:sz w:val="30"/>
          <w:szCs w:val="30"/>
          <w:lang w:val="en-US" w:eastAsia="zh-CN"/>
        </w:rPr>
        <w:t>10.22%</w:t>
      </w:r>
      <w:r>
        <w:rPr>
          <w:rFonts w:hint="eastAsia" w:ascii="仿宋_GB2312" w:eastAsia="仿宋_GB2312"/>
          <w:kern w:val="0"/>
          <w:sz w:val="30"/>
          <w:szCs w:val="30"/>
        </w:rPr>
        <w:t>，主要是在职职工调</w:t>
      </w:r>
      <w:r>
        <w:rPr>
          <w:rFonts w:hint="eastAsia" w:ascii="仿宋_GB2312" w:eastAsia="仿宋_GB2312"/>
          <w:kern w:val="0"/>
          <w:sz w:val="30"/>
          <w:szCs w:val="30"/>
          <w:lang w:eastAsia="zh-CN"/>
        </w:rPr>
        <w:t>增</w:t>
      </w:r>
      <w:r>
        <w:rPr>
          <w:rFonts w:hint="eastAsia" w:ascii="仿宋_GB2312" w:eastAsia="仿宋_GB2312"/>
          <w:kern w:val="0"/>
          <w:sz w:val="30"/>
          <w:szCs w:val="30"/>
        </w:rPr>
        <w:t>基本工资标准和津贴补贴。</w:t>
      </w:r>
    </w:p>
    <w:p>
      <w:pPr>
        <w:keepNext w:val="0"/>
        <w:keepLines w:val="0"/>
        <w:pageBreakBefore w:val="0"/>
        <w:kinsoku/>
        <w:wordWrap/>
        <w:overflowPunct/>
        <w:topLinePunct w:val="0"/>
        <w:autoSpaceDE/>
        <w:autoSpaceDN/>
        <w:bidi w:val="0"/>
        <w:adjustRightInd/>
        <w:snapToGrid/>
        <w:ind w:firstLine="600" w:firstLineChars="200"/>
        <w:jc w:val="both"/>
        <w:textAlignment w:val="auto"/>
        <w:rPr>
          <w:rFonts w:hint="eastAsia" w:ascii="楷体_GB2312" w:hAnsi="Times New Roman" w:eastAsia="楷体_GB2312" w:cs="Times New Roman"/>
          <w:kern w:val="0"/>
          <w:sz w:val="30"/>
          <w:szCs w:val="30"/>
          <w:lang w:val="en-US" w:eastAsia="zh-CN" w:bidi="ar-SA"/>
        </w:rPr>
      </w:pPr>
      <w:r>
        <w:rPr>
          <w:rFonts w:hint="eastAsia" w:ascii="楷体_GB2312" w:eastAsia="楷体_GB2312" w:cs="Times New Roman"/>
          <w:kern w:val="0"/>
          <w:sz w:val="30"/>
          <w:szCs w:val="30"/>
          <w:lang w:val="en-US" w:eastAsia="zh-CN" w:bidi="ar-SA"/>
        </w:rPr>
        <w:t>（四）</w:t>
      </w:r>
      <w:r>
        <w:rPr>
          <w:rFonts w:hint="eastAsia" w:ascii="楷体_GB2312" w:hAnsi="Times New Roman" w:eastAsia="楷体_GB2312" w:cs="Times New Roman"/>
          <w:kern w:val="0"/>
          <w:sz w:val="30"/>
          <w:szCs w:val="30"/>
          <w:lang w:val="en-US" w:eastAsia="zh-CN" w:bidi="ar-SA"/>
        </w:rPr>
        <w:t>项目支出情况</w:t>
      </w:r>
    </w:p>
    <w:p>
      <w:pPr>
        <w:pStyle w:val="14"/>
        <w:keepNext w:val="0"/>
        <w:keepLines w:val="0"/>
        <w:pageBreakBefore w:val="0"/>
        <w:kinsoku/>
        <w:wordWrap/>
        <w:overflowPunct/>
        <w:topLinePunct w:val="0"/>
        <w:autoSpaceDE/>
        <w:autoSpaceDN/>
        <w:bidi w:val="0"/>
        <w:adjustRightInd/>
        <w:snapToGrid/>
        <w:ind w:firstLine="60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年盈江县</w:t>
      </w:r>
      <w:r>
        <w:rPr>
          <w:rFonts w:hint="eastAsia" w:ascii="仿宋_GB2312" w:eastAsia="仿宋_GB2312"/>
          <w:kern w:val="0"/>
          <w:sz w:val="30"/>
          <w:szCs w:val="30"/>
          <w:lang w:eastAsia="zh-CN"/>
        </w:rPr>
        <w:t>支那</w:t>
      </w:r>
      <w:r>
        <w:rPr>
          <w:rFonts w:hint="eastAsia" w:ascii="仿宋_GB2312" w:hAnsi="仿宋_GB2312" w:eastAsia="仿宋_GB2312" w:cs="仿宋_GB2312"/>
          <w:sz w:val="30"/>
          <w:szCs w:val="30"/>
          <w:lang w:eastAsia="zh-CN"/>
        </w:rPr>
        <w:t>乡中心学校</w:t>
      </w:r>
      <w:r>
        <w:rPr>
          <w:rFonts w:hint="eastAsia" w:ascii="仿宋_GB2312" w:hAnsi="仿宋_GB2312" w:eastAsia="仿宋_GB2312" w:cs="仿宋_GB2312"/>
          <w:sz w:val="30"/>
          <w:szCs w:val="30"/>
        </w:rPr>
        <w:t>项目支出</w:t>
      </w:r>
      <w:r>
        <w:rPr>
          <w:rFonts w:hint="eastAsia" w:ascii="仿宋_GB2312" w:hAnsi="仿宋_GB2312" w:eastAsia="仿宋_GB2312" w:cs="仿宋_GB2312"/>
          <w:sz w:val="30"/>
          <w:szCs w:val="30"/>
          <w:lang w:eastAsia="zh-CN"/>
        </w:rPr>
        <w:t>与</w:t>
      </w:r>
      <w:r>
        <w:rPr>
          <w:rFonts w:hint="eastAsia" w:ascii="仿宋_GB2312" w:hAnsi="仿宋_GB2312" w:eastAsia="仿宋_GB2312" w:cs="仿宋_GB2312"/>
          <w:sz w:val="30"/>
          <w:szCs w:val="30"/>
          <w:lang w:val="en-US" w:eastAsia="zh-CN"/>
        </w:rPr>
        <w:t>2018年一致无项目支出</w:t>
      </w:r>
      <w:r>
        <w:rPr>
          <w:rFonts w:hint="eastAsia" w:ascii="仿宋_GB2312" w:hAnsi="仿宋_GB2312" w:eastAsia="仿宋_GB2312" w:cs="仿宋_GB2312"/>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ascii="楷体_GB2312" w:eastAsia="楷体_GB2312"/>
          <w:kern w:val="0"/>
          <w:sz w:val="30"/>
          <w:szCs w:val="30"/>
        </w:rPr>
      </w:pPr>
      <w:r>
        <w:rPr>
          <w:rFonts w:ascii="楷体_GB2312" w:eastAsia="楷体_GB2312"/>
          <w:kern w:val="0"/>
          <w:sz w:val="30"/>
          <w:szCs w:val="30"/>
        </w:rPr>
        <w:t>（一）专业名词解释</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1.财政拨款（补助）收入指财政部门当年拨付的资金。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2.事业收入指事业单位开展业务活动取得的收入。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3.事业单位经营收入指事业单位在业务活动之外开展非独立核算经营活动取得的收入。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4.其他收入指预算单位在“财政拨款收入”、“事业收入”、“经营收入”之外取得的收入。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5.基本支出指为保障机构正常运转、完成日常工作任务而发生的人员支出和公用支出。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6.项目支出指在基本支出之外为完成相关行政任务和事业发展目标所发生的支出。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 xml:space="preserve">7.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8.“三公”经费包括因公出国（境）费、公务用车购置及运行费、公务接待费。其中：因公出国（境）费，指单位工作人员公务出国（境）的住宿费、</w:t>
      </w:r>
      <w:r>
        <w:rPr>
          <w:rFonts w:hint="eastAsia" w:ascii="仿宋_GB2312" w:hAnsi="仿宋_GB2312" w:eastAsia="仿宋_GB2312" w:cs="仿宋_GB2312"/>
          <w:color w:val="333333"/>
          <w:kern w:val="0"/>
          <w:sz w:val="30"/>
          <w:szCs w:val="30"/>
          <w:lang w:eastAsia="zh-CN"/>
        </w:rPr>
        <w:t>差</w:t>
      </w:r>
      <w:r>
        <w:rPr>
          <w:rFonts w:hint="eastAsia" w:ascii="仿宋_GB2312" w:hAnsi="仿宋_GB2312" w:eastAsia="仿宋_GB2312" w:cs="仿宋_GB2312"/>
          <w:color w:val="333333"/>
          <w:kern w:val="0"/>
          <w:sz w:val="30"/>
          <w:szCs w:val="30"/>
        </w:rPr>
        <w:t xml:space="preserve">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 xml:space="preserve">9.一般公共预算是对以税收为主体的财政收入，安排用于保障和改善民生、推动经济社会发展、维护国家安全、维护国家机构正常运转等方面的收支预算。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 xml:space="preserve">10.非税收入是各级政府及其所属部门和单位依法利用行政权力、政府信誉、国家资源、国有资产或提供特定公共服务征收、收取、提取、募集的除税收和政府债务收入以外的财政收入。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 xml:space="preserve">11.工资福利支出反映单位开支的在职职工和编制外长期聘用人员的各类劳动报酬，以及为上述人员缴纳的各项社会保险费等。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 xml:space="preserve">12.商品和服务支出反映单位购买商品和服务的支出（不包括用于购置固定资产的支出、战略性和应急储备支出）。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 xml:space="preserve">13.对个人和家庭的补助反映政府用于对个人和家庭的补助支出。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14.政府采购是指各级国家机关、事业单位和团体组织，使用财政性资金采购依法制定的集中采购目录以内的或者采购限额标准以上的货物、工程和服务的行为。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lang w:eastAsia="zh-CN"/>
        </w:rPr>
        <w:t>机关</w:t>
      </w:r>
      <w:r>
        <w:rPr>
          <w:rFonts w:ascii="楷体_GB2312" w:eastAsia="楷体_GB2312"/>
          <w:kern w:val="0"/>
          <w:sz w:val="30"/>
          <w:szCs w:val="30"/>
        </w:rPr>
        <w:t>运行经费安排</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hint="eastAsia" w:ascii="仿宋_GB2312" w:eastAsia="仿宋_GB2312"/>
          <w:kern w:val="0"/>
          <w:sz w:val="30"/>
          <w:szCs w:val="30"/>
        </w:rPr>
      </w:pPr>
      <w:r>
        <w:rPr>
          <w:rFonts w:hint="eastAsia" w:ascii="仿宋_GB2312" w:eastAsia="仿宋_GB2312"/>
          <w:kern w:val="0"/>
          <w:sz w:val="30"/>
          <w:szCs w:val="30"/>
          <w:lang w:eastAsia="zh-CN"/>
        </w:rPr>
        <w:t>无</w:t>
      </w:r>
    </w:p>
    <w:p>
      <w:pPr>
        <w:keepNext w:val="0"/>
        <w:keepLines w:val="0"/>
        <w:pageBreakBefore w:val="0"/>
        <w:widowControl/>
        <w:numPr>
          <w:ilvl w:val="0"/>
          <w:numId w:val="6"/>
        </w:numPr>
        <w:kinsoku/>
        <w:wordWrap/>
        <w:overflowPunct/>
        <w:topLinePunct w:val="0"/>
        <w:autoSpaceDE/>
        <w:autoSpaceDN/>
        <w:bidi w:val="0"/>
        <w:adjustRightInd/>
        <w:snapToGrid/>
        <w:ind w:firstLine="600" w:firstLineChars="200"/>
        <w:jc w:val="both"/>
        <w:textAlignment w:val="auto"/>
        <w:rPr>
          <w:rFonts w:ascii="楷体_GB2312" w:eastAsia="楷体_GB2312"/>
          <w:kern w:val="0"/>
          <w:sz w:val="30"/>
          <w:szCs w:val="30"/>
        </w:rPr>
      </w:pPr>
      <w:r>
        <w:rPr>
          <w:rFonts w:ascii="楷体_GB2312" w:eastAsia="楷体_GB2312"/>
          <w:kern w:val="0"/>
          <w:sz w:val="30"/>
          <w:szCs w:val="30"/>
        </w:rPr>
        <w:t>国有资产占用情况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hint="eastAsia" w:ascii="仿宋_GB2312" w:eastAsia="仿宋_GB2312"/>
          <w:kern w:val="0"/>
          <w:sz w:val="30"/>
          <w:szCs w:val="30"/>
        </w:rPr>
      </w:pPr>
      <w:r>
        <w:rPr>
          <w:rFonts w:hint="eastAsia" w:ascii="楷体_GB2312" w:eastAsia="楷体_GB2312"/>
          <w:kern w:val="0"/>
          <w:sz w:val="30"/>
          <w:szCs w:val="30"/>
        </w:rPr>
        <w:t xml:space="preserve"> </w:t>
      </w:r>
      <w:r>
        <w:rPr>
          <w:rFonts w:hint="eastAsia" w:ascii="仿宋_GB2312" w:eastAsia="仿宋_GB2312"/>
          <w:kern w:val="0"/>
          <w:sz w:val="30"/>
          <w:szCs w:val="30"/>
        </w:rPr>
        <w:t>鉴于截至2019年12月31日的国有资产占有使用情况需在完成2019年决算编制后才能统计汇总相关数据，因此，将在公开</w:t>
      </w:r>
      <w:r>
        <w:rPr>
          <w:rFonts w:hint="eastAsia" w:ascii="仿宋_GB2312" w:eastAsia="仿宋_GB2312"/>
          <w:kern w:val="0"/>
          <w:sz w:val="30"/>
          <w:szCs w:val="30"/>
          <w:lang w:val="en-US" w:eastAsia="zh-CN"/>
        </w:rPr>
        <w:t>2019</w:t>
      </w:r>
      <w:r>
        <w:rPr>
          <w:rFonts w:hint="eastAsia" w:ascii="仿宋_GB2312" w:eastAsia="仿宋_GB2312"/>
          <w:kern w:val="0"/>
          <w:sz w:val="30"/>
          <w:szCs w:val="30"/>
        </w:rPr>
        <w:t>年度部门决算时一并公开部门截至2019年12月31日的国有资产占有使用情况。</w:t>
      </w:r>
    </w:p>
    <w:p>
      <w:pPr>
        <w:keepNext w:val="0"/>
        <w:keepLines w:val="0"/>
        <w:pageBreakBefore w:val="0"/>
        <w:widowControl/>
        <w:numPr>
          <w:ilvl w:val="0"/>
          <w:numId w:val="6"/>
        </w:numPr>
        <w:kinsoku/>
        <w:wordWrap/>
        <w:overflowPunct/>
        <w:topLinePunct w:val="0"/>
        <w:autoSpaceDE/>
        <w:autoSpaceDN/>
        <w:bidi w:val="0"/>
        <w:adjustRightInd/>
        <w:snapToGrid/>
        <w:ind w:firstLine="600" w:firstLineChars="200"/>
        <w:jc w:val="both"/>
        <w:textAlignment w:val="auto"/>
        <w:rPr>
          <w:rFonts w:ascii="楷体_GB2312" w:eastAsia="楷体_GB2312"/>
          <w:kern w:val="0"/>
          <w:sz w:val="30"/>
          <w:szCs w:val="30"/>
        </w:rPr>
      </w:pPr>
      <w:r>
        <w:rPr>
          <w:rFonts w:hint="eastAsia" w:ascii="楷体_GB2312" w:eastAsia="楷体_GB2312"/>
          <w:kern w:val="0"/>
          <w:sz w:val="30"/>
          <w:szCs w:val="30"/>
        </w:rPr>
        <w:t>本部门预算绩效情况说明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年部门预算总支出 </w:t>
      </w:r>
      <w:r>
        <w:rPr>
          <w:rFonts w:hint="eastAsia" w:eastAsia="仿宋_GB2312"/>
          <w:kern w:val="0"/>
          <w:sz w:val="30"/>
          <w:szCs w:val="30"/>
          <w:lang w:val="en-US" w:eastAsia="zh-CN"/>
        </w:rPr>
        <w:t>1092.56</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1092.56</w:t>
      </w:r>
      <w:r>
        <w:rPr>
          <w:rFonts w:eastAsia="仿宋_GB2312"/>
          <w:kern w:val="0"/>
          <w:sz w:val="30"/>
          <w:szCs w:val="30"/>
        </w:rPr>
        <w:t>万元，其中，基本支出</w:t>
      </w:r>
      <w:r>
        <w:rPr>
          <w:rFonts w:hint="eastAsia" w:eastAsia="仿宋_GB2312"/>
          <w:kern w:val="0"/>
          <w:sz w:val="30"/>
          <w:szCs w:val="30"/>
          <w:lang w:val="en-US" w:eastAsia="zh-CN"/>
        </w:rPr>
        <w:t>1092.56</w:t>
      </w:r>
      <w:r>
        <w:rPr>
          <w:rFonts w:eastAsia="仿宋_GB2312"/>
          <w:kern w:val="0"/>
          <w:sz w:val="30"/>
          <w:szCs w:val="30"/>
        </w:rPr>
        <w:t>万元，</w:t>
      </w:r>
      <w:r>
        <w:rPr>
          <w:rFonts w:hint="eastAsia" w:ascii="仿宋_GB2312" w:eastAsia="仿宋_GB2312"/>
          <w:kern w:val="0"/>
          <w:sz w:val="30"/>
          <w:szCs w:val="30"/>
        </w:rPr>
        <w:t>主要用于发放职工工资，</w:t>
      </w:r>
      <w:r>
        <w:rPr>
          <w:rFonts w:hint="eastAsia" w:ascii="仿宋_GB2312" w:hAnsi="仿宋_GB2312" w:eastAsia="仿宋_GB2312" w:cs="仿宋_GB2312"/>
          <w:kern w:val="0"/>
          <w:sz w:val="30"/>
          <w:szCs w:val="30"/>
        </w:rPr>
        <w:t>归口管理的行政单位离退休、</w:t>
      </w:r>
      <w:r>
        <w:rPr>
          <w:rFonts w:hint="eastAsia" w:ascii="仿宋_GB2312" w:eastAsia="仿宋_GB2312"/>
          <w:kern w:val="0"/>
          <w:sz w:val="30"/>
          <w:szCs w:val="30"/>
        </w:rPr>
        <w:t>基本养老保险缴费，住房公积金，支付公用经费确保机构正常运转。</w:t>
      </w:r>
      <w:r>
        <w:rPr>
          <w:rFonts w:eastAsia="仿宋_GB2312"/>
          <w:kern w:val="0"/>
          <w:sz w:val="30"/>
          <w:szCs w:val="30"/>
        </w:rPr>
        <w:t>项目支出</w:t>
      </w:r>
      <w:r>
        <w:rPr>
          <w:rFonts w:hint="eastAsia" w:eastAsia="仿宋_GB2312"/>
          <w:kern w:val="0"/>
          <w:sz w:val="30"/>
          <w:szCs w:val="30"/>
          <w:lang w:val="en-US" w:eastAsia="zh-CN"/>
        </w:rPr>
        <w:t>0</w:t>
      </w:r>
      <w:r>
        <w:rPr>
          <w:rFonts w:eastAsia="仿宋_GB2312"/>
          <w:kern w:val="0"/>
          <w:sz w:val="30"/>
          <w:szCs w:val="30"/>
        </w:rPr>
        <w:t>万元。</w:t>
      </w:r>
    </w:p>
    <w:p>
      <w:pPr>
        <w:widowControl/>
        <w:jc w:val="left"/>
        <w:rPr>
          <w:rFonts w:hint="eastAsia" w:ascii="仿宋_GB2312" w:eastAsia="仿宋_GB2312"/>
          <w:kern w:val="0"/>
          <w:sz w:val="30"/>
          <w:szCs w:val="30"/>
        </w:rPr>
      </w:pPr>
    </w:p>
    <w:p>
      <w:pPr>
        <w:widowControl/>
        <w:jc w:val="left"/>
        <w:rPr>
          <w:rFonts w:ascii="楷体_GB2312" w:eastAsia="楷体_GB2312"/>
          <w:kern w:val="0"/>
          <w:sz w:val="30"/>
          <w:szCs w:val="30"/>
        </w:rPr>
      </w:pPr>
    </w:p>
    <w:bookmarkEnd w:id="0"/>
    <w:sectPr>
      <w:headerReference r:id="rId3" w:type="default"/>
      <w:headerReference r:id="rId4" w:type="even"/>
      <w:pgSz w:w="11906" w:h="16838"/>
      <w:pgMar w:top="1247" w:right="1797" w:bottom="1247"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C73893"/>
    <w:multiLevelType w:val="singleLevel"/>
    <w:tmpl w:val="55C73893"/>
    <w:lvl w:ilvl="0" w:tentative="0">
      <w:start w:val="1"/>
      <w:numFmt w:val="decimal"/>
      <w:suff w:val="nothing"/>
      <w:lvlText w:val="%1、"/>
      <w:lvlJc w:val="left"/>
    </w:lvl>
  </w:abstractNum>
  <w:abstractNum w:abstractNumId="1">
    <w:nsid w:val="5C3DA9B9"/>
    <w:multiLevelType w:val="singleLevel"/>
    <w:tmpl w:val="5C3DA9B9"/>
    <w:lvl w:ilvl="0" w:tentative="0">
      <w:start w:val="3"/>
      <w:numFmt w:val="chineseCounting"/>
      <w:suff w:val="nothing"/>
      <w:lvlText w:val="（%1）"/>
      <w:lvlJc w:val="left"/>
    </w:lvl>
  </w:abstractNum>
  <w:abstractNum w:abstractNumId="2">
    <w:nsid w:val="5C47BA42"/>
    <w:multiLevelType w:val="singleLevel"/>
    <w:tmpl w:val="5C47BA42"/>
    <w:lvl w:ilvl="0" w:tentative="0">
      <w:start w:val="2"/>
      <w:numFmt w:val="chineseCounting"/>
      <w:suff w:val="nothing"/>
      <w:lvlText w:val="（%1）"/>
      <w:lvlJc w:val="left"/>
    </w:lvl>
  </w:abstractNum>
  <w:abstractNum w:abstractNumId="3">
    <w:nsid w:val="5C47DBBF"/>
    <w:multiLevelType w:val="singleLevel"/>
    <w:tmpl w:val="5C47DBBF"/>
    <w:lvl w:ilvl="0" w:tentative="0">
      <w:start w:val="4"/>
      <w:numFmt w:val="chineseCounting"/>
      <w:suff w:val="nothing"/>
      <w:lvlText w:val="%1、"/>
      <w:lvlJc w:val="left"/>
    </w:lvl>
  </w:abstractNum>
  <w:abstractNum w:abstractNumId="4">
    <w:nsid w:val="5C47DC0A"/>
    <w:multiLevelType w:val="singleLevel"/>
    <w:tmpl w:val="5C47DC0A"/>
    <w:lvl w:ilvl="0" w:tentative="0">
      <w:start w:val="5"/>
      <w:numFmt w:val="chineseCounting"/>
      <w:suff w:val="nothing"/>
      <w:lvlText w:val="%1、"/>
      <w:lvlJc w:val="left"/>
    </w:lvl>
  </w:abstractNum>
  <w:abstractNum w:abstractNumId="5">
    <w:nsid w:val="5CB6EB83"/>
    <w:multiLevelType w:val="singleLevel"/>
    <w:tmpl w:val="5CB6EB83"/>
    <w:lvl w:ilvl="0" w:tentative="0">
      <w:start w:val="1"/>
      <w:numFmt w:val="chineseCounting"/>
      <w:suff w:val="nothing"/>
      <w:lvlText w:val="（%1）"/>
      <w:lvlJc w:val="left"/>
    </w:lvl>
  </w:abstractNum>
  <w:num w:numId="1">
    <w:abstractNumId w:val="0"/>
  </w:num>
  <w:num w:numId="2">
    <w:abstractNumId w:val="3"/>
  </w:num>
  <w:num w:numId="3">
    <w:abstractNumId w:val="2"/>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51AF"/>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3CD50E7"/>
    <w:rsid w:val="03F0214E"/>
    <w:rsid w:val="048C268B"/>
    <w:rsid w:val="04CF1775"/>
    <w:rsid w:val="05595AC9"/>
    <w:rsid w:val="05616F12"/>
    <w:rsid w:val="058D249C"/>
    <w:rsid w:val="05E01812"/>
    <w:rsid w:val="061A2813"/>
    <w:rsid w:val="06325B44"/>
    <w:rsid w:val="06E43398"/>
    <w:rsid w:val="084A3CB5"/>
    <w:rsid w:val="0AB77A2F"/>
    <w:rsid w:val="0B800818"/>
    <w:rsid w:val="0D870669"/>
    <w:rsid w:val="114E4D4B"/>
    <w:rsid w:val="13F52A67"/>
    <w:rsid w:val="14594CAF"/>
    <w:rsid w:val="156B3533"/>
    <w:rsid w:val="163608B0"/>
    <w:rsid w:val="16C85A74"/>
    <w:rsid w:val="174B5FC7"/>
    <w:rsid w:val="18C71FA3"/>
    <w:rsid w:val="19A77E4D"/>
    <w:rsid w:val="1A0B3DDD"/>
    <w:rsid w:val="1A272E8E"/>
    <w:rsid w:val="1A685806"/>
    <w:rsid w:val="207165AF"/>
    <w:rsid w:val="209D2413"/>
    <w:rsid w:val="23293A4E"/>
    <w:rsid w:val="23C6578F"/>
    <w:rsid w:val="242E2599"/>
    <w:rsid w:val="25111A52"/>
    <w:rsid w:val="252035D8"/>
    <w:rsid w:val="26BF2FF3"/>
    <w:rsid w:val="26C01C7D"/>
    <w:rsid w:val="27E3128E"/>
    <w:rsid w:val="28D26D48"/>
    <w:rsid w:val="28ED429B"/>
    <w:rsid w:val="29895E37"/>
    <w:rsid w:val="29F4749C"/>
    <w:rsid w:val="2B696D85"/>
    <w:rsid w:val="2B880CBF"/>
    <w:rsid w:val="2D7B7E3A"/>
    <w:rsid w:val="2DA75286"/>
    <w:rsid w:val="2FD25EA1"/>
    <w:rsid w:val="30672B10"/>
    <w:rsid w:val="33233469"/>
    <w:rsid w:val="33E37726"/>
    <w:rsid w:val="340235A7"/>
    <w:rsid w:val="3596247A"/>
    <w:rsid w:val="369B6FF2"/>
    <w:rsid w:val="37A862F8"/>
    <w:rsid w:val="37CB4618"/>
    <w:rsid w:val="384741CD"/>
    <w:rsid w:val="386B671F"/>
    <w:rsid w:val="391970F8"/>
    <w:rsid w:val="39466C4F"/>
    <w:rsid w:val="39BF048F"/>
    <w:rsid w:val="39DA3784"/>
    <w:rsid w:val="3A8C77EA"/>
    <w:rsid w:val="3C010CB3"/>
    <w:rsid w:val="3CC32D4E"/>
    <w:rsid w:val="3D8C6D07"/>
    <w:rsid w:val="3E2B33DD"/>
    <w:rsid w:val="3E9F7599"/>
    <w:rsid w:val="43131F13"/>
    <w:rsid w:val="43C35C3E"/>
    <w:rsid w:val="45166B3A"/>
    <w:rsid w:val="45435229"/>
    <w:rsid w:val="459270B2"/>
    <w:rsid w:val="46D61E29"/>
    <w:rsid w:val="4A940EA9"/>
    <w:rsid w:val="4E2F180E"/>
    <w:rsid w:val="4E8812E3"/>
    <w:rsid w:val="4FC334A8"/>
    <w:rsid w:val="514B6039"/>
    <w:rsid w:val="515A348C"/>
    <w:rsid w:val="52F31125"/>
    <w:rsid w:val="564C72BA"/>
    <w:rsid w:val="579B348F"/>
    <w:rsid w:val="5825432A"/>
    <w:rsid w:val="58310B0B"/>
    <w:rsid w:val="59FE1D80"/>
    <w:rsid w:val="5A037DBC"/>
    <w:rsid w:val="5AB4032D"/>
    <w:rsid w:val="5E7D384C"/>
    <w:rsid w:val="6077766D"/>
    <w:rsid w:val="635B2632"/>
    <w:rsid w:val="63C978BE"/>
    <w:rsid w:val="65756AF5"/>
    <w:rsid w:val="67D95CA6"/>
    <w:rsid w:val="67DD5DBE"/>
    <w:rsid w:val="68C77134"/>
    <w:rsid w:val="696C28AF"/>
    <w:rsid w:val="6A8C3BB7"/>
    <w:rsid w:val="6AAE5830"/>
    <w:rsid w:val="6BDF5289"/>
    <w:rsid w:val="6CAC668F"/>
    <w:rsid w:val="6DA47EEE"/>
    <w:rsid w:val="6DD72E46"/>
    <w:rsid w:val="6E0A3BD0"/>
    <w:rsid w:val="6FCD3E36"/>
    <w:rsid w:val="71606B8F"/>
    <w:rsid w:val="724A4A01"/>
    <w:rsid w:val="72F37DB5"/>
    <w:rsid w:val="74973AFB"/>
    <w:rsid w:val="750555D9"/>
    <w:rsid w:val="75F37398"/>
    <w:rsid w:val="772B760F"/>
    <w:rsid w:val="7941023E"/>
    <w:rsid w:val="79910928"/>
    <w:rsid w:val="79C417BA"/>
    <w:rsid w:val="7A1A412C"/>
    <w:rsid w:val="7B1E5394"/>
    <w:rsid w:val="7D3768FA"/>
    <w:rsid w:val="7EBB41C0"/>
    <w:rsid w:val="7FD609E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0"/>
    <w:rPr>
      <w:sz w:val="24"/>
    </w:rPr>
  </w:style>
  <w:style w:type="character" w:styleId="9">
    <w:name w:val="Hyperlink"/>
    <w:basedOn w:val="8"/>
    <w:unhideWhenUsed/>
    <w:qFormat/>
    <w:uiPriority w:val="0"/>
    <w:rPr>
      <w:color w:val="0000FF"/>
      <w:u w:val="single"/>
    </w:rPr>
  </w:style>
  <w:style w:type="character" w:styleId="10">
    <w:name w:val="annotation reference"/>
    <w:semiHidden/>
    <w:qFormat/>
    <w:uiPriority w:val="0"/>
    <w:rPr>
      <w:sz w:val="21"/>
      <w:szCs w:val="21"/>
    </w:rPr>
  </w:style>
  <w:style w:type="paragraph" w:customStyle="1" w:styleId="12">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3">
    <w:name w:val="Normal (Web)"/>
    <w:basedOn w:val="1"/>
    <w:qFormat/>
    <w:uiPriority w:val="0"/>
    <w:pPr>
      <w:jc w:val="left"/>
    </w:pPr>
    <w:rPr>
      <w:kern w:val="0"/>
      <w:sz w:val="24"/>
    </w:rPr>
  </w:style>
  <w:style w:type="paragraph" w:customStyle="1" w:styleId="14">
    <w:name w:val="p0"/>
    <w:basedOn w:val="1"/>
    <w:qFormat/>
    <w:uiPriority w:val="0"/>
    <w:pPr>
      <w:widowControl/>
    </w:pPr>
    <w:rPr>
      <w:rFonts w:ascii="Calibri" w:hAnsi="Calibri" w:cs="宋体"/>
      <w:kern w:val="0"/>
      <w:szCs w:val="21"/>
    </w:rPr>
  </w:style>
  <w:style w:type="paragraph" w:customStyle="1" w:styleId="15">
    <w:name w:val="普通(网站)1"/>
    <w:basedOn w:val="1"/>
    <w:qFormat/>
    <w:uiPriority w:val="0"/>
    <w:pPr>
      <w:jc w:val="left"/>
    </w:pPr>
    <w:rPr>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TotalTime>1</TotalTime>
  <ScaleCrop>false</ScaleCrop>
  <LinksUpToDate>false</LinksUpToDate>
  <CharactersWithSpaces>0</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Bruce S</cp:lastModifiedBy>
  <cp:lastPrinted>2018-01-31T03:32:00Z</cp:lastPrinted>
  <dcterms:modified xsi:type="dcterms:W3CDTF">2019-04-29T10:09:34Z</dcterms:modified>
  <dc:title>年部门预算编制说明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